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B3" w:rsidRPr="00DE7E72" w:rsidRDefault="006934B3" w:rsidP="006934B3">
      <w:pPr>
        <w:spacing w:line="240" w:lineRule="auto"/>
        <w:rPr>
          <w:i/>
          <w:sz w:val="28"/>
          <w:szCs w:val="28"/>
        </w:rPr>
      </w:pPr>
      <w:r>
        <w:rPr>
          <w:i/>
          <w:sz w:val="28"/>
          <w:szCs w:val="28"/>
        </w:rPr>
        <w:t>“</w:t>
      </w:r>
      <w:r w:rsidRPr="00DE7E72">
        <w:rPr>
          <w:i/>
          <w:sz w:val="28"/>
          <w:szCs w:val="28"/>
        </w:rPr>
        <w:t>15 states, such as Delaware, permit the creation of full blown self-settled asset protection trusts. Besides t</w:t>
      </w:r>
      <w:r>
        <w:rPr>
          <w:i/>
          <w:sz w:val="28"/>
          <w:szCs w:val="28"/>
        </w:rPr>
        <w:t>he 15, at least 10 other states</w:t>
      </w:r>
      <w:r w:rsidRPr="00DE7E72">
        <w:rPr>
          <w:i/>
          <w:sz w:val="28"/>
          <w:szCs w:val="28"/>
        </w:rPr>
        <w:t xml:space="preserve"> allow some form of an asset protection trust, including inter </w:t>
      </w:r>
      <w:proofErr w:type="spellStart"/>
      <w:r w:rsidRPr="00DE7E72">
        <w:rPr>
          <w:i/>
          <w:sz w:val="28"/>
          <w:szCs w:val="28"/>
        </w:rPr>
        <w:t>vivos</w:t>
      </w:r>
      <w:proofErr w:type="spellEnd"/>
      <w:r w:rsidRPr="00DE7E72">
        <w:rPr>
          <w:i/>
          <w:sz w:val="28"/>
          <w:szCs w:val="28"/>
        </w:rPr>
        <w:t xml:space="preserve"> QTIP trusts.  The proliferation of domestic asset protection trusts leaves attorneys inquiring about the laws in each asset protection state and the benefits of creating such a tr</w:t>
      </w:r>
      <w:r>
        <w:rPr>
          <w:i/>
          <w:sz w:val="28"/>
          <w:szCs w:val="28"/>
        </w:rPr>
        <w:t>ust in one state versus another. Questions frequently asked are</w:t>
      </w:r>
      <w:r w:rsidRPr="00DE7E72">
        <w:rPr>
          <w:i/>
          <w:sz w:val="28"/>
          <w:szCs w:val="28"/>
        </w:rPr>
        <w:t xml:space="preserve">: </w:t>
      </w:r>
    </w:p>
    <w:p w:rsidR="006934B3" w:rsidRPr="00DE7E72" w:rsidRDefault="006934B3" w:rsidP="006934B3">
      <w:pPr>
        <w:spacing w:line="240" w:lineRule="auto"/>
        <w:ind w:left="720"/>
        <w:rPr>
          <w:i/>
          <w:sz w:val="28"/>
          <w:szCs w:val="28"/>
        </w:rPr>
      </w:pPr>
      <w:r w:rsidRPr="00DE7E72">
        <w:rPr>
          <w:i/>
          <w:sz w:val="28"/>
          <w:szCs w:val="28"/>
        </w:rPr>
        <w:t xml:space="preserve">-What is an inter </w:t>
      </w:r>
      <w:proofErr w:type="spellStart"/>
      <w:r w:rsidRPr="00DE7E72">
        <w:rPr>
          <w:i/>
          <w:sz w:val="28"/>
          <w:szCs w:val="28"/>
        </w:rPr>
        <w:t>vivos</w:t>
      </w:r>
      <w:proofErr w:type="spellEnd"/>
      <w:r w:rsidRPr="00DE7E72">
        <w:rPr>
          <w:i/>
          <w:sz w:val="28"/>
          <w:szCs w:val="28"/>
        </w:rPr>
        <w:t xml:space="preserve"> QTIP trust and how can it help my clients?</w:t>
      </w:r>
    </w:p>
    <w:p w:rsidR="006934B3" w:rsidRPr="00DE7E72" w:rsidRDefault="006934B3" w:rsidP="006934B3">
      <w:pPr>
        <w:spacing w:line="240" w:lineRule="auto"/>
        <w:ind w:left="720"/>
        <w:rPr>
          <w:i/>
          <w:sz w:val="28"/>
          <w:szCs w:val="28"/>
        </w:rPr>
      </w:pPr>
      <w:r w:rsidRPr="00DE7E72">
        <w:rPr>
          <w:i/>
          <w:sz w:val="28"/>
          <w:szCs w:val="28"/>
        </w:rPr>
        <w:t>-Will domestic self-settled asset protection trusts benefit my clients?</w:t>
      </w:r>
    </w:p>
    <w:p w:rsidR="006934B3" w:rsidRPr="00DE7E72" w:rsidRDefault="006934B3" w:rsidP="006934B3">
      <w:pPr>
        <w:spacing w:line="240" w:lineRule="auto"/>
        <w:ind w:left="720"/>
        <w:rPr>
          <w:i/>
          <w:sz w:val="28"/>
          <w:szCs w:val="28"/>
        </w:rPr>
      </w:pPr>
      <w:r w:rsidRPr="00DE7E72">
        <w:rPr>
          <w:i/>
          <w:sz w:val="28"/>
          <w:szCs w:val="28"/>
        </w:rPr>
        <w:t>-Do the costs of creating a trust in one state for creditor protection or taxation benefits really outweigh the creation of such a trust in another?</w:t>
      </w:r>
    </w:p>
    <w:p w:rsidR="006934B3" w:rsidRPr="00DE7E72" w:rsidRDefault="006934B3" w:rsidP="006934B3">
      <w:pPr>
        <w:spacing w:line="240" w:lineRule="auto"/>
        <w:ind w:left="720"/>
        <w:rPr>
          <w:i/>
          <w:sz w:val="28"/>
          <w:szCs w:val="28"/>
        </w:rPr>
      </w:pPr>
      <w:r w:rsidRPr="00DE7E72">
        <w:rPr>
          <w:i/>
          <w:sz w:val="28"/>
          <w:szCs w:val="28"/>
        </w:rPr>
        <w:t>-Is the trust really protected from creditors?</w:t>
      </w:r>
    </w:p>
    <w:p w:rsidR="006934B3" w:rsidRPr="00DE7E72" w:rsidRDefault="006934B3" w:rsidP="006934B3">
      <w:pPr>
        <w:spacing w:line="240" w:lineRule="auto"/>
        <w:ind w:left="720"/>
        <w:rPr>
          <w:i/>
          <w:sz w:val="28"/>
          <w:szCs w:val="28"/>
        </w:rPr>
      </w:pPr>
      <w:r w:rsidRPr="00DE7E72">
        <w:rPr>
          <w:i/>
          <w:sz w:val="28"/>
          <w:szCs w:val="28"/>
        </w:rPr>
        <w:t>-Can the trust be used to avoid the income tax in the grantor's state of residence?</w:t>
      </w:r>
    </w:p>
    <w:p w:rsidR="006934B3" w:rsidRPr="00DE7E72" w:rsidRDefault="006934B3" w:rsidP="006934B3">
      <w:pPr>
        <w:spacing w:line="240" w:lineRule="auto"/>
        <w:ind w:left="720"/>
        <w:rPr>
          <w:i/>
          <w:sz w:val="28"/>
          <w:szCs w:val="28"/>
        </w:rPr>
      </w:pPr>
      <w:r w:rsidRPr="00DE7E72">
        <w:rPr>
          <w:i/>
          <w:sz w:val="28"/>
          <w:szCs w:val="28"/>
        </w:rPr>
        <w:t>-Can a same sex couple benefit from the use of these trusts?</w:t>
      </w:r>
    </w:p>
    <w:p w:rsidR="006934B3" w:rsidRPr="00DE7E72" w:rsidRDefault="006934B3" w:rsidP="006934B3">
      <w:pPr>
        <w:spacing w:line="240" w:lineRule="auto"/>
        <w:ind w:left="720"/>
        <w:rPr>
          <w:sz w:val="28"/>
          <w:szCs w:val="28"/>
        </w:rPr>
      </w:pPr>
      <w:r w:rsidRPr="00DE7E72">
        <w:rPr>
          <w:i/>
          <w:sz w:val="28"/>
          <w:szCs w:val="28"/>
        </w:rPr>
        <w:t>-Is using an offshore trust better?</w:t>
      </w:r>
      <w:r>
        <w:rPr>
          <w:i/>
          <w:sz w:val="28"/>
          <w:szCs w:val="28"/>
        </w:rPr>
        <w:t>”</w:t>
      </w:r>
    </w:p>
    <w:p w:rsidR="006934B3" w:rsidRDefault="006934B3" w:rsidP="006934B3">
      <w:pPr>
        <w:spacing w:line="240" w:lineRule="auto"/>
        <w:rPr>
          <w:sz w:val="28"/>
          <w:szCs w:val="28"/>
        </w:rPr>
      </w:pPr>
    </w:p>
    <w:p w:rsidR="006934B3" w:rsidRDefault="006934B3" w:rsidP="006934B3">
      <w:pPr>
        <w:spacing w:line="240" w:lineRule="auto"/>
        <w:rPr>
          <w:sz w:val="28"/>
          <w:szCs w:val="28"/>
        </w:rPr>
      </w:pPr>
      <w:r>
        <w:rPr>
          <w:sz w:val="28"/>
          <w:szCs w:val="28"/>
        </w:rPr>
        <w:t>On Tuesday October 14, 2014,</w:t>
      </w:r>
      <w:r w:rsidRPr="00DE7E72">
        <w:rPr>
          <w:sz w:val="28"/>
          <w:szCs w:val="28"/>
        </w:rPr>
        <w:t xml:space="preserve"> </w:t>
      </w:r>
      <w:r w:rsidRPr="00A87C24">
        <w:rPr>
          <w:b/>
          <w:sz w:val="28"/>
          <w:szCs w:val="28"/>
        </w:rPr>
        <w:t xml:space="preserve">Michael </w:t>
      </w:r>
      <w:r>
        <w:rPr>
          <w:b/>
          <w:sz w:val="28"/>
          <w:szCs w:val="28"/>
        </w:rPr>
        <w:t xml:space="preserve">M. </w:t>
      </w:r>
      <w:r w:rsidRPr="00A87C24">
        <w:rPr>
          <w:b/>
          <w:sz w:val="28"/>
          <w:szCs w:val="28"/>
        </w:rPr>
        <w:t>Gordon</w:t>
      </w:r>
      <w:r w:rsidRPr="00B327CA">
        <w:rPr>
          <w:sz w:val="28"/>
          <w:szCs w:val="28"/>
        </w:rPr>
        <w:t>,</w:t>
      </w:r>
      <w:r w:rsidRPr="00A87C24">
        <w:rPr>
          <w:b/>
          <w:sz w:val="28"/>
          <w:szCs w:val="28"/>
        </w:rPr>
        <w:t xml:space="preserve"> Cynthia </w:t>
      </w:r>
      <w:r>
        <w:rPr>
          <w:b/>
          <w:sz w:val="28"/>
          <w:szCs w:val="28"/>
        </w:rPr>
        <w:t xml:space="preserve">D.M. </w:t>
      </w:r>
      <w:r w:rsidRPr="00A87C24">
        <w:rPr>
          <w:b/>
          <w:sz w:val="28"/>
          <w:szCs w:val="28"/>
        </w:rPr>
        <w:t>Brown</w:t>
      </w:r>
      <w:r w:rsidRPr="005711E0">
        <w:rPr>
          <w:sz w:val="28"/>
          <w:szCs w:val="28"/>
        </w:rPr>
        <w:t>,</w:t>
      </w:r>
      <w:r w:rsidRPr="00A87C24">
        <w:rPr>
          <w:b/>
          <w:sz w:val="28"/>
          <w:szCs w:val="28"/>
        </w:rPr>
        <w:t xml:space="preserve"> J. Aaron Byrd</w:t>
      </w:r>
      <w:r w:rsidRPr="00B327CA">
        <w:rPr>
          <w:sz w:val="28"/>
          <w:szCs w:val="28"/>
        </w:rPr>
        <w:t>,</w:t>
      </w:r>
      <w:r w:rsidRPr="00A87C24">
        <w:rPr>
          <w:b/>
          <w:sz w:val="28"/>
          <w:szCs w:val="28"/>
        </w:rPr>
        <w:t xml:space="preserve"> Michael </w:t>
      </w:r>
      <w:r>
        <w:rPr>
          <w:b/>
          <w:sz w:val="28"/>
          <w:szCs w:val="28"/>
        </w:rPr>
        <w:t xml:space="preserve">J. </w:t>
      </w:r>
      <w:proofErr w:type="spellStart"/>
      <w:r w:rsidR="000677AD">
        <w:rPr>
          <w:b/>
          <w:sz w:val="28"/>
          <w:szCs w:val="28"/>
        </w:rPr>
        <w:t>Stegman</w:t>
      </w:r>
      <w:proofErr w:type="spellEnd"/>
      <w:r w:rsidR="000677AD">
        <w:rPr>
          <w:b/>
          <w:sz w:val="28"/>
          <w:szCs w:val="28"/>
        </w:rPr>
        <w:t xml:space="preserve"> </w:t>
      </w:r>
      <w:r w:rsidR="000677AD">
        <w:rPr>
          <w:sz w:val="28"/>
          <w:szCs w:val="28"/>
        </w:rPr>
        <w:t xml:space="preserve">and </w:t>
      </w:r>
      <w:r w:rsidRPr="00A87C24">
        <w:rPr>
          <w:b/>
          <w:sz w:val="28"/>
          <w:szCs w:val="28"/>
        </w:rPr>
        <w:t>Gray Edmondson</w:t>
      </w:r>
      <w:r>
        <w:rPr>
          <w:sz w:val="28"/>
          <w:szCs w:val="28"/>
        </w:rPr>
        <w:t xml:space="preserve"> will present an </w:t>
      </w:r>
      <w:r w:rsidRPr="006E1592">
        <w:rPr>
          <w:b/>
          <w:sz w:val="28"/>
          <w:szCs w:val="28"/>
        </w:rPr>
        <w:t>American Bar Association</w:t>
      </w:r>
      <w:r>
        <w:rPr>
          <w:sz w:val="28"/>
          <w:szCs w:val="28"/>
        </w:rPr>
        <w:t xml:space="preserve"> (“ABA”) </w:t>
      </w:r>
      <w:proofErr w:type="spellStart"/>
      <w:r>
        <w:rPr>
          <w:sz w:val="28"/>
          <w:szCs w:val="28"/>
        </w:rPr>
        <w:t>eCLE</w:t>
      </w:r>
      <w:proofErr w:type="spellEnd"/>
      <w:r>
        <w:rPr>
          <w:sz w:val="28"/>
          <w:szCs w:val="28"/>
        </w:rPr>
        <w:t xml:space="preserve"> on Domestic Asset Protection Trust Planning where</w:t>
      </w:r>
      <w:r w:rsidRPr="00DE7E72">
        <w:rPr>
          <w:sz w:val="28"/>
          <w:szCs w:val="28"/>
        </w:rPr>
        <w:t xml:space="preserve"> they</w:t>
      </w:r>
      <w:r>
        <w:rPr>
          <w:sz w:val="28"/>
          <w:szCs w:val="28"/>
        </w:rPr>
        <w:t xml:space="preserve"> will</w:t>
      </w:r>
      <w:r w:rsidRPr="00DE7E72">
        <w:rPr>
          <w:sz w:val="28"/>
          <w:szCs w:val="28"/>
        </w:rPr>
        <w:t xml:space="preserve"> address the domestic asset protection trust laws applicable to Delaware, Ohio, Mississippi, and North Carolina. </w:t>
      </w:r>
      <w:r>
        <w:rPr>
          <w:sz w:val="28"/>
          <w:szCs w:val="28"/>
        </w:rPr>
        <w:t xml:space="preserve">This </w:t>
      </w:r>
      <w:proofErr w:type="spellStart"/>
      <w:r>
        <w:rPr>
          <w:sz w:val="28"/>
          <w:szCs w:val="28"/>
        </w:rPr>
        <w:t>eCLE</w:t>
      </w:r>
      <w:proofErr w:type="spellEnd"/>
      <w:r>
        <w:rPr>
          <w:sz w:val="28"/>
          <w:szCs w:val="28"/>
        </w:rPr>
        <w:t xml:space="preserve"> is being organized by the </w:t>
      </w:r>
      <w:r w:rsidRPr="00D6731C">
        <w:rPr>
          <w:b/>
          <w:sz w:val="28"/>
          <w:szCs w:val="28"/>
        </w:rPr>
        <w:t>Asset Protection Planning Committee</w:t>
      </w:r>
      <w:bookmarkStart w:id="0" w:name="_GoBack"/>
      <w:bookmarkEnd w:id="0"/>
      <w:r w:rsidRPr="00D6731C">
        <w:rPr>
          <w:b/>
          <w:sz w:val="28"/>
          <w:szCs w:val="28"/>
        </w:rPr>
        <w:t xml:space="preserve"> of the Non-Tax Estate Planning Considerations Group</w:t>
      </w:r>
      <w:r>
        <w:rPr>
          <w:sz w:val="28"/>
          <w:szCs w:val="28"/>
        </w:rPr>
        <w:t xml:space="preserve"> within the ABA’s </w:t>
      </w:r>
      <w:r w:rsidRPr="00D6731C">
        <w:rPr>
          <w:b/>
          <w:sz w:val="28"/>
          <w:szCs w:val="28"/>
        </w:rPr>
        <w:t>Real Property, Trust and Estate Law Section</w:t>
      </w:r>
      <w:r>
        <w:rPr>
          <w:sz w:val="28"/>
          <w:szCs w:val="28"/>
        </w:rPr>
        <w:t xml:space="preserve">. </w:t>
      </w:r>
      <w:r w:rsidRPr="00DE7E72">
        <w:rPr>
          <w:sz w:val="28"/>
          <w:szCs w:val="28"/>
        </w:rPr>
        <w:t xml:space="preserve">While three of the states permit full blown self-settled asset protection trusts, the other (North Carolina) permits solely inter </w:t>
      </w:r>
      <w:proofErr w:type="spellStart"/>
      <w:r w:rsidRPr="00DE7E72">
        <w:rPr>
          <w:sz w:val="28"/>
          <w:szCs w:val="28"/>
        </w:rPr>
        <w:t>vivos</w:t>
      </w:r>
      <w:proofErr w:type="spellEnd"/>
      <w:r w:rsidRPr="00DE7E72">
        <w:rPr>
          <w:sz w:val="28"/>
          <w:szCs w:val="28"/>
        </w:rPr>
        <w:t xml:space="preserve"> QTIP trusts. The presenters will discuss the questions posed, above, and provide attendees with an overview of how their states’ statutes can provide techniques that could be incorporated in</w:t>
      </w:r>
      <w:r>
        <w:rPr>
          <w:sz w:val="28"/>
          <w:szCs w:val="28"/>
        </w:rPr>
        <w:t>to a comprehensive estate plan.</w:t>
      </w:r>
    </w:p>
    <w:p w:rsidR="006934B3" w:rsidRPr="00430FB9" w:rsidRDefault="006934B3" w:rsidP="006934B3">
      <w:pPr>
        <w:spacing w:after="0" w:line="240" w:lineRule="auto"/>
        <w:rPr>
          <w:sz w:val="28"/>
          <w:szCs w:val="28"/>
        </w:rPr>
      </w:pPr>
      <w:r w:rsidRPr="00430FB9">
        <w:rPr>
          <w:sz w:val="28"/>
          <w:szCs w:val="28"/>
        </w:rPr>
        <w:t>These are just some of the questions that will be answered over the course of</w:t>
      </w:r>
    </w:p>
    <w:p w:rsidR="006934B3" w:rsidRPr="00430FB9" w:rsidRDefault="006934B3" w:rsidP="006934B3">
      <w:pPr>
        <w:spacing w:after="0" w:line="240" w:lineRule="auto"/>
        <w:rPr>
          <w:sz w:val="28"/>
          <w:szCs w:val="28"/>
        </w:rPr>
      </w:pPr>
      <w:proofErr w:type="gramStart"/>
      <w:r w:rsidRPr="00430FB9">
        <w:rPr>
          <w:sz w:val="28"/>
          <w:szCs w:val="28"/>
        </w:rPr>
        <w:t>five</w:t>
      </w:r>
      <w:proofErr w:type="gramEnd"/>
      <w:r w:rsidRPr="00430FB9">
        <w:rPr>
          <w:sz w:val="28"/>
          <w:szCs w:val="28"/>
        </w:rPr>
        <w:t xml:space="preserve"> </w:t>
      </w:r>
      <w:proofErr w:type="spellStart"/>
      <w:r w:rsidRPr="00430FB9">
        <w:rPr>
          <w:sz w:val="28"/>
          <w:szCs w:val="28"/>
        </w:rPr>
        <w:t>eCLE</w:t>
      </w:r>
      <w:proofErr w:type="spellEnd"/>
      <w:r w:rsidRPr="00430FB9">
        <w:rPr>
          <w:sz w:val="28"/>
          <w:szCs w:val="28"/>
        </w:rPr>
        <w:t xml:space="preserve"> webinars addressing some of the full blown domestic self-settled</w:t>
      </w:r>
    </w:p>
    <w:p w:rsidR="006934B3" w:rsidRDefault="006934B3" w:rsidP="006934B3">
      <w:pPr>
        <w:spacing w:after="0" w:line="240" w:lineRule="auto"/>
        <w:rPr>
          <w:sz w:val="28"/>
          <w:szCs w:val="28"/>
        </w:rPr>
      </w:pPr>
      <w:proofErr w:type="gramStart"/>
      <w:r w:rsidRPr="00430FB9">
        <w:rPr>
          <w:sz w:val="28"/>
          <w:szCs w:val="28"/>
        </w:rPr>
        <w:t>asset</w:t>
      </w:r>
      <w:proofErr w:type="gramEnd"/>
      <w:r w:rsidRPr="00430FB9">
        <w:rPr>
          <w:sz w:val="28"/>
          <w:szCs w:val="28"/>
        </w:rPr>
        <w:t xml:space="preserve"> protection trust statutes and inter </w:t>
      </w:r>
      <w:proofErr w:type="spellStart"/>
      <w:r w:rsidRPr="00430FB9">
        <w:rPr>
          <w:sz w:val="28"/>
          <w:szCs w:val="28"/>
        </w:rPr>
        <w:t>vivo</w:t>
      </w:r>
      <w:r>
        <w:rPr>
          <w:sz w:val="28"/>
          <w:szCs w:val="28"/>
        </w:rPr>
        <w:t>s</w:t>
      </w:r>
      <w:proofErr w:type="spellEnd"/>
      <w:r>
        <w:rPr>
          <w:sz w:val="28"/>
          <w:szCs w:val="28"/>
        </w:rPr>
        <w:t xml:space="preserve"> QTIP trust statutes:</w:t>
      </w:r>
    </w:p>
    <w:p w:rsidR="006934B3" w:rsidRPr="00430FB9" w:rsidRDefault="006934B3" w:rsidP="006934B3">
      <w:pPr>
        <w:spacing w:after="0" w:line="240" w:lineRule="auto"/>
        <w:rPr>
          <w:sz w:val="28"/>
          <w:szCs w:val="28"/>
        </w:rPr>
      </w:pPr>
    </w:p>
    <w:p w:rsidR="006934B3" w:rsidRPr="00430FB9" w:rsidRDefault="006934B3" w:rsidP="006934B3">
      <w:pPr>
        <w:pStyle w:val="ListParagraph"/>
        <w:numPr>
          <w:ilvl w:val="0"/>
          <w:numId w:val="27"/>
        </w:numPr>
        <w:spacing w:after="0" w:line="240" w:lineRule="auto"/>
        <w:rPr>
          <w:sz w:val="28"/>
          <w:szCs w:val="28"/>
        </w:rPr>
      </w:pPr>
      <w:r w:rsidRPr="00430FB9">
        <w:rPr>
          <w:sz w:val="28"/>
          <w:szCs w:val="28"/>
        </w:rPr>
        <w:t>Session 1 Delaware, Ohio, Mississippi, North Carolina October 14</w:t>
      </w:r>
    </w:p>
    <w:p w:rsidR="006934B3" w:rsidRPr="00430FB9" w:rsidRDefault="006934B3" w:rsidP="006934B3">
      <w:pPr>
        <w:pStyle w:val="ListParagraph"/>
        <w:numPr>
          <w:ilvl w:val="0"/>
          <w:numId w:val="27"/>
        </w:numPr>
        <w:spacing w:after="0" w:line="240" w:lineRule="auto"/>
        <w:rPr>
          <w:sz w:val="28"/>
          <w:szCs w:val="28"/>
        </w:rPr>
      </w:pPr>
      <w:r w:rsidRPr="00430FB9">
        <w:rPr>
          <w:sz w:val="28"/>
          <w:szCs w:val="28"/>
        </w:rPr>
        <w:lastRenderedPageBreak/>
        <w:t>Session 2 Florida, Texas, Tennessee December 9</w:t>
      </w:r>
    </w:p>
    <w:p w:rsidR="006934B3" w:rsidRPr="00430FB9" w:rsidRDefault="006934B3" w:rsidP="006934B3">
      <w:pPr>
        <w:pStyle w:val="ListParagraph"/>
        <w:numPr>
          <w:ilvl w:val="0"/>
          <w:numId w:val="27"/>
        </w:numPr>
        <w:spacing w:after="0" w:line="240" w:lineRule="auto"/>
        <w:rPr>
          <w:sz w:val="28"/>
          <w:szCs w:val="28"/>
        </w:rPr>
      </w:pPr>
      <w:r w:rsidRPr="00430FB9">
        <w:rPr>
          <w:sz w:val="28"/>
          <w:szCs w:val="28"/>
        </w:rPr>
        <w:t>Session 3 Alaska, South Carolina,</w:t>
      </w:r>
      <w:r w:rsidR="00975283">
        <w:rPr>
          <w:sz w:val="28"/>
          <w:szCs w:val="28"/>
        </w:rPr>
        <w:t xml:space="preserve"> </w:t>
      </w:r>
      <w:r w:rsidRPr="00430FB9">
        <w:rPr>
          <w:sz w:val="28"/>
          <w:szCs w:val="28"/>
        </w:rPr>
        <w:t>Wyoming, Oklahoma February 10</w:t>
      </w:r>
    </w:p>
    <w:p w:rsidR="006934B3" w:rsidRPr="00430FB9" w:rsidRDefault="006934B3" w:rsidP="006934B3">
      <w:pPr>
        <w:pStyle w:val="ListParagraph"/>
        <w:numPr>
          <w:ilvl w:val="0"/>
          <w:numId w:val="27"/>
        </w:numPr>
        <w:spacing w:after="0" w:line="240" w:lineRule="auto"/>
        <w:rPr>
          <w:sz w:val="28"/>
          <w:szCs w:val="28"/>
        </w:rPr>
      </w:pPr>
      <w:r w:rsidRPr="00430FB9">
        <w:rPr>
          <w:sz w:val="28"/>
          <w:szCs w:val="28"/>
        </w:rPr>
        <w:t>Session 4 Arizona, Maryland, Nevada, New Hampshire April 14</w:t>
      </w:r>
    </w:p>
    <w:p w:rsidR="006934B3" w:rsidRPr="00430FB9" w:rsidRDefault="006934B3" w:rsidP="006934B3">
      <w:pPr>
        <w:pStyle w:val="ListParagraph"/>
        <w:numPr>
          <w:ilvl w:val="0"/>
          <w:numId w:val="27"/>
        </w:numPr>
        <w:spacing w:after="0" w:line="240" w:lineRule="auto"/>
        <w:rPr>
          <w:sz w:val="28"/>
          <w:szCs w:val="28"/>
        </w:rPr>
      </w:pPr>
      <w:r w:rsidRPr="00430FB9">
        <w:rPr>
          <w:sz w:val="28"/>
          <w:szCs w:val="28"/>
        </w:rPr>
        <w:t>Session 5 South Dakota, Utah, Kentucky June 9</w:t>
      </w:r>
    </w:p>
    <w:p w:rsidR="006934B3" w:rsidRDefault="006934B3" w:rsidP="006934B3">
      <w:pPr>
        <w:spacing w:after="0" w:line="240" w:lineRule="auto"/>
        <w:rPr>
          <w:sz w:val="28"/>
          <w:szCs w:val="28"/>
        </w:rPr>
      </w:pPr>
    </w:p>
    <w:p w:rsidR="006934B3" w:rsidRPr="00D6731C" w:rsidRDefault="006934B3" w:rsidP="006934B3">
      <w:pPr>
        <w:spacing w:after="0" w:line="240" w:lineRule="auto"/>
        <w:rPr>
          <w:b/>
          <w:sz w:val="28"/>
          <w:szCs w:val="28"/>
        </w:rPr>
      </w:pPr>
      <w:r w:rsidRPr="00430FB9">
        <w:rPr>
          <w:sz w:val="28"/>
          <w:szCs w:val="28"/>
        </w:rPr>
        <w:t xml:space="preserve">This program is brought to you by the </w:t>
      </w:r>
      <w:r w:rsidRPr="00D6731C">
        <w:rPr>
          <w:b/>
          <w:sz w:val="28"/>
          <w:szCs w:val="28"/>
        </w:rPr>
        <w:t>ABA Section of Real Property, Trust &amp;</w:t>
      </w:r>
    </w:p>
    <w:p w:rsidR="006934B3" w:rsidRDefault="006934B3" w:rsidP="006934B3">
      <w:pPr>
        <w:spacing w:after="0" w:line="240" w:lineRule="auto"/>
        <w:rPr>
          <w:sz w:val="28"/>
          <w:szCs w:val="28"/>
        </w:rPr>
      </w:pPr>
      <w:proofErr w:type="gramStart"/>
      <w:r w:rsidRPr="00D6731C">
        <w:rPr>
          <w:b/>
          <w:sz w:val="28"/>
          <w:szCs w:val="28"/>
        </w:rPr>
        <w:t>Estate Law</w:t>
      </w:r>
      <w:r w:rsidRPr="00430FB9">
        <w:rPr>
          <w:sz w:val="28"/>
          <w:szCs w:val="28"/>
        </w:rPr>
        <w:t>.</w:t>
      </w:r>
      <w:proofErr w:type="gramEnd"/>
      <w:r>
        <w:rPr>
          <w:sz w:val="28"/>
          <w:szCs w:val="28"/>
        </w:rPr>
        <w:t xml:space="preserve"> </w:t>
      </w:r>
      <w:r w:rsidRPr="00430FB9">
        <w:rPr>
          <w:sz w:val="28"/>
          <w:szCs w:val="28"/>
        </w:rPr>
        <w:t>Attendees can register for the entire series or individual sessions.</w:t>
      </w:r>
      <w:r>
        <w:rPr>
          <w:sz w:val="28"/>
          <w:szCs w:val="28"/>
        </w:rPr>
        <w:t xml:space="preserve"> </w:t>
      </w:r>
      <w:r w:rsidRPr="00430FB9">
        <w:rPr>
          <w:sz w:val="28"/>
          <w:szCs w:val="28"/>
        </w:rPr>
        <w:t>Register now using your ABA ID 01938329.</w:t>
      </w:r>
      <w:r>
        <w:rPr>
          <w:sz w:val="28"/>
          <w:szCs w:val="28"/>
        </w:rPr>
        <w:t xml:space="preserve"> For more information, click this link: </w:t>
      </w:r>
    </w:p>
    <w:p w:rsidR="006934B3" w:rsidRDefault="00D64381" w:rsidP="006934B3">
      <w:pPr>
        <w:spacing w:after="0" w:line="240" w:lineRule="auto"/>
        <w:rPr>
          <w:sz w:val="28"/>
          <w:szCs w:val="28"/>
        </w:rPr>
      </w:pPr>
      <w:hyperlink r:id="rId8" w:history="1">
        <w:r w:rsidR="006934B3" w:rsidRPr="008B3630">
          <w:rPr>
            <w:rStyle w:val="Hyperlink"/>
            <w:sz w:val="28"/>
            <w:szCs w:val="28"/>
          </w:rPr>
          <w:t>Session 1</w:t>
        </w:r>
      </w:hyperlink>
    </w:p>
    <w:p w:rsidR="006934B3" w:rsidRPr="00430FB9" w:rsidRDefault="006934B3" w:rsidP="006934B3">
      <w:pPr>
        <w:spacing w:after="0" w:line="240" w:lineRule="auto"/>
        <w:rPr>
          <w:sz w:val="28"/>
          <w:szCs w:val="28"/>
        </w:rPr>
      </w:pPr>
    </w:p>
    <w:p w:rsidR="006934B3" w:rsidRPr="00430FB9" w:rsidRDefault="006934B3" w:rsidP="006934B3">
      <w:pPr>
        <w:spacing w:after="0" w:line="240" w:lineRule="auto"/>
        <w:rPr>
          <w:sz w:val="28"/>
          <w:szCs w:val="28"/>
        </w:rPr>
      </w:pPr>
      <w:r w:rsidRPr="00430FB9">
        <w:rPr>
          <w:sz w:val="28"/>
          <w:szCs w:val="28"/>
        </w:rPr>
        <w:t>If you are an ABA member, join the Section of Real Property, Trust and</w:t>
      </w:r>
    </w:p>
    <w:p w:rsidR="006934B3" w:rsidRPr="00430FB9" w:rsidRDefault="006934B3" w:rsidP="006934B3">
      <w:pPr>
        <w:spacing w:after="0" w:line="240" w:lineRule="auto"/>
        <w:rPr>
          <w:sz w:val="28"/>
          <w:szCs w:val="28"/>
        </w:rPr>
      </w:pPr>
      <w:r w:rsidRPr="00430FB9">
        <w:rPr>
          <w:sz w:val="28"/>
          <w:szCs w:val="28"/>
        </w:rPr>
        <w:t>Estate Law (RPTE) for only $70 and receive the discounted registration rate</w:t>
      </w:r>
    </w:p>
    <w:p w:rsidR="006934B3" w:rsidRDefault="006934B3" w:rsidP="006934B3">
      <w:pPr>
        <w:spacing w:after="0" w:line="240" w:lineRule="auto"/>
        <w:rPr>
          <w:sz w:val="28"/>
          <w:szCs w:val="28"/>
        </w:rPr>
      </w:pPr>
      <w:proofErr w:type="gramStart"/>
      <w:r w:rsidRPr="00430FB9">
        <w:rPr>
          <w:sz w:val="28"/>
          <w:szCs w:val="28"/>
        </w:rPr>
        <w:t>plus</w:t>
      </w:r>
      <w:proofErr w:type="gramEnd"/>
      <w:r w:rsidRPr="00430FB9">
        <w:rPr>
          <w:sz w:val="28"/>
          <w:szCs w:val="28"/>
        </w:rPr>
        <w:t xml:space="preserve"> all of the other benefits of RPTE membership! </w:t>
      </w:r>
    </w:p>
    <w:p w:rsidR="006934B3" w:rsidRPr="00430FB9" w:rsidRDefault="006934B3" w:rsidP="006934B3">
      <w:pPr>
        <w:spacing w:after="0" w:line="240" w:lineRule="auto"/>
        <w:rPr>
          <w:sz w:val="28"/>
          <w:szCs w:val="28"/>
        </w:rPr>
      </w:pPr>
    </w:p>
    <w:p w:rsidR="006934B3" w:rsidRPr="005306DE" w:rsidRDefault="006934B3" w:rsidP="006934B3">
      <w:pPr>
        <w:spacing w:after="0" w:line="240" w:lineRule="auto"/>
        <w:rPr>
          <w:sz w:val="28"/>
          <w:szCs w:val="28"/>
        </w:rPr>
      </w:pPr>
      <w:r>
        <w:rPr>
          <w:sz w:val="28"/>
          <w:szCs w:val="28"/>
        </w:rPr>
        <w:t xml:space="preserve">Now </w:t>
      </w:r>
      <w:r w:rsidRPr="00AB4234">
        <w:rPr>
          <w:b/>
          <w:sz w:val="28"/>
          <w:szCs w:val="28"/>
        </w:rPr>
        <w:t xml:space="preserve">Michael M. Gordon </w:t>
      </w:r>
      <w:r w:rsidRPr="00AB4234">
        <w:rPr>
          <w:sz w:val="28"/>
          <w:szCs w:val="28"/>
        </w:rPr>
        <w:t>and</w:t>
      </w:r>
      <w:r w:rsidRPr="00AB4234">
        <w:rPr>
          <w:b/>
          <w:sz w:val="28"/>
          <w:szCs w:val="28"/>
        </w:rPr>
        <w:t xml:space="preserve"> Cynthia D.M. Brown </w:t>
      </w:r>
      <w:r w:rsidRPr="005306DE">
        <w:rPr>
          <w:color w:val="000000"/>
          <w:sz w:val="28"/>
          <w:szCs w:val="28"/>
          <w:shd w:val="clear" w:color="auto" w:fill="FFFFFF"/>
        </w:rPr>
        <w:t>provide</w:t>
      </w:r>
      <w:r>
        <w:rPr>
          <w:color w:val="000000"/>
          <w:sz w:val="28"/>
          <w:szCs w:val="28"/>
          <w:shd w:val="clear" w:color="auto" w:fill="FFFFFF"/>
        </w:rPr>
        <w:t xml:space="preserve"> </w:t>
      </w:r>
      <w:r w:rsidRPr="005306DE">
        <w:rPr>
          <w:rStyle w:val="Strong"/>
          <w:color w:val="3333FF"/>
          <w:sz w:val="32"/>
          <w:szCs w:val="32"/>
          <w:shd w:val="clear" w:color="auto" w:fill="FFFFFF"/>
        </w:rPr>
        <w:t>LISI</w:t>
      </w:r>
      <w:r w:rsidRPr="005306DE">
        <w:rPr>
          <w:rStyle w:val="apple-converted-space"/>
          <w:b/>
          <w:bCs/>
          <w:color w:val="3333FF"/>
          <w:sz w:val="32"/>
          <w:szCs w:val="32"/>
          <w:shd w:val="clear" w:color="auto" w:fill="FFFFFF"/>
        </w:rPr>
        <w:t> </w:t>
      </w:r>
      <w:r>
        <w:rPr>
          <w:color w:val="000000"/>
          <w:sz w:val="28"/>
          <w:szCs w:val="28"/>
          <w:shd w:val="clear" w:color="auto" w:fill="FFFFFF"/>
        </w:rPr>
        <w:t xml:space="preserve">members with commentary on </w:t>
      </w:r>
      <w:r w:rsidRPr="00AB4234">
        <w:rPr>
          <w:sz w:val="28"/>
          <w:szCs w:val="28"/>
        </w:rPr>
        <w:t>the Delaware Qualified Dispositions in Trust Act</w:t>
      </w:r>
      <w:r>
        <w:rPr>
          <w:sz w:val="28"/>
          <w:szCs w:val="28"/>
        </w:rPr>
        <w:t>.</w:t>
      </w:r>
      <w:r>
        <w:rPr>
          <w:color w:val="000000"/>
          <w:sz w:val="28"/>
          <w:szCs w:val="28"/>
          <w:shd w:val="clear" w:color="auto" w:fill="FFFFFF"/>
        </w:rPr>
        <w:t xml:space="preserve"> </w:t>
      </w:r>
    </w:p>
    <w:p w:rsidR="006934B3" w:rsidRPr="006934B3" w:rsidRDefault="006934B3" w:rsidP="006934B3">
      <w:pPr>
        <w:pStyle w:val="NormalWeb"/>
        <w:shd w:val="clear" w:color="auto" w:fill="FFFFFF"/>
        <w:rPr>
          <w:b/>
          <w:color w:val="000000"/>
          <w:sz w:val="28"/>
          <w:szCs w:val="28"/>
        </w:rPr>
      </w:pPr>
      <w:r>
        <w:rPr>
          <w:rStyle w:val="Strong"/>
          <w:color w:val="000000"/>
          <w:sz w:val="28"/>
          <w:szCs w:val="28"/>
        </w:rPr>
        <w:t>Michael M. Gordon</w:t>
      </w:r>
      <w:r w:rsidRPr="007311C4">
        <w:t xml:space="preserve"> </w:t>
      </w:r>
      <w:r w:rsidRPr="006934B3">
        <w:rPr>
          <w:rStyle w:val="Strong"/>
          <w:b w:val="0"/>
          <w:color w:val="000000"/>
          <w:sz w:val="28"/>
          <w:szCs w:val="28"/>
        </w:rPr>
        <w:t>is a</w:t>
      </w:r>
      <w:r w:rsidRPr="007311C4">
        <w:rPr>
          <w:rStyle w:val="Strong"/>
          <w:color w:val="000000"/>
          <w:sz w:val="28"/>
          <w:szCs w:val="28"/>
        </w:rPr>
        <w:t xml:space="preserve"> Director </w:t>
      </w:r>
      <w:r w:rsidRPr="006934B3">
        <w:rPr>
          <w:rStyle w:val="Strong"/>
          <w:b w:val="0"/>
          <w:color w:val="000000"/>
          <w:sz w:val="28"/>
          <w:szCs w:val="28"/>
        </w:rPr>
        <w:t>at the Wilmington law firm of</w:t>
      </w:r>
      <w:r w:rsidRPr="007311C4">
        <w:rPr>
          <w:rStyle w:val="Strong"/>
          <w:color w:val="000000"/>
          <w:sz w:val="28"/>
          <w:szCs w:val="28"/>
        </w:rPr>
        <w:t xml:space="preserve"> Gordon, </w:t>
      </w:r>
      <w:proofErr w:type="spellStart"/>
      <w:r w:rsidRPr="007311C4">
        <w:rPr>
          <w:rStyle w:val="Strong"/>
          <w:color w:val="000000"/>
          <w:sz w:val="28"/>
          <w:szCs w:val="28"/>
        </w:rPr>
        <w:t>Fournaris</w:t>
      </w:r>
      <w:proofErr w:type="spellEnd"/>
      <w:r w:rsidRPr="007311C4">
        <w:rPr>
          <w:rStyle w:val="Strong"/>
          <w:color w:val="000000"/>
          <w:sz w:val="28"/>
          <w:szCs w:val="28"/>
        </w:rPr>
        <w:t xml:space="preserve"> &amp; </w:t>
      </w:r>
      <w:proofErr w:type="spellStart"/>
      <w:r w:rsidRPr="007311C4">
        <w:rPr>
          <w:rStyle w:val="Strong"/>
          <w:color w:val="000000"/>
          <w:sz w:val="28"/>
          <w:szCs w:val="28"/>
        </w:rPr>
        <w:t>Mammarella</w:t>
      </w:r>
      <w:proofErr w:type="spellEnd"/>
      <w:r w:rsidRPr="007311C4">
        <w:rPr>
          <w:rStyle w:val="Strong"/>
          <w:color w:val="000000"/>
          <w:sz w:val="28"/>
          <w:szCs w:val="28"/>
        </w:rPr>
        <w:t xml:space="preserve">, </w:t>
      </w:r>
      <w:proofErr w:type="gramStart"/>
      <w:r w:rsidRPr="007311C4">
        <w:rPr>
          <w:rStyle w:val="Strong"/>
          <w:color w:val="000000"/>
          <w:sz w:val="28"/>
          <w:szCs w:val="28"/>
        </w:rPr>
        <w:t>P.A</w:t>
      </w:r>
      <w:proofErr w:type="gramEnd"/>
      <w:r w:rsidRPr="007311C4">
        <w:rPr>
          <w:rStyle w:val="Strong"/>
          <w:color w:val="000000"/>
          <w:sz w:val="28"/>
          <w:szCs w:val="28"/>
        </w:rPr>
        <w:t xml:space="preserve">.  </w:t>
      </w:r>
      <w:r w:rsidRPr="006934B3">
        <w:rPr>
          <w:rStyle w:val="Strong"/>
          <w:b w:val="0"/>
          <w:color w:val="000000"/>
          <w:sz w:val="28"/>
          <w:szCs w:val="28"/>
        </w:rPr>
        <w:t>His practice focuses on the unique aspects of Delaware trust law, including directed trusts, dynasty trusts, asset protection trusts and all aspects of the validity, construction and administration of Delaware trusts.  Michael is the former Chair of the Estates and Trusts Section of the Delaware Bar Association.  He is a Fellow of the American College of Trust and Estate Counsel.  Michael is also a member of the American Bar Association where he serves as Co-Chair of the Asset Protection Planning Committee of the Section of Real Property, Trust &amp; Estate Law.</w:t>
      </w:r>
    </w:p>
    <w:p w:rsidR="006934B3" w:rsidRDefault="006934B3" w:rsidP="006934B3">
      <w:pPr>
        <w:spacing w:line="240" w:lineRule="auto"/>
        <w:rPr>
          <w:sz w:val="28"/>
          <w:szCs w:val="28"/>
        </w:rPr>
      </w:pPr>
      <w:r w:rsidRPr="00AB4234">
        <w:rPr>
          <w:b/>
          <w:color w:val="000000"/>
          <w:sz w:val="28"/>
          <w:szCs w:val="28"/>
        </w:rPr>
        <w:t>Cynthia D.M. Brown</w:t>
      </w:r>
      <w:r w:rsidRPr="00CC7A6C">
        <w:rPr>
          <w:sz w:val="28"/>
          <w:szCs w:val="28"/>
        </w:rPr>
        <w:t xml:space="preserve"> is the President of </w:t>
      </w:r>
      <w:r w:rsidRPr="00CC7A6C">
        <w:rPr>
          <w:b/>
          <w:sz w:val="28"/>
          <w:szCs w:val="28"/>
        </w:rPr>
        <w:t>Commonwealth Trust Company</w:t>
      </w:r>
      <w:r w:rsidRPr="00CC7A6C">
        <w:rPr>
          <w:sz w:val="28"/>
          <w:szCs w:val="28"/>
        </w:rPr>
        <w:t xml:space="preserve"> and a member of its Board of Directors.  Prior to joining Commonwealth, Cindy worked for several large Philadelphia firms in the areas</w:t>
      </w:r>
      <w:r>
        <w:rPr>
          <w:sz w:val="28"/>
          <w:szCs w:val="28"/>
        </w:rPr>
        <w:t xml:space="preserve"> of tax, estate planning, </w:t>
      </w:r>
      <w:proofErr w:type="gramStart"/>
      <w:r>
        <w:rPr>
          <w:sz w:val="28"/>
          <w:szCs w:val="28"/>
        </w:rPr>
        <w:t>asset</w:t>
      </w:r>
      <w:proofErr w:type="gramEnd"/>
      <w:r>
        <w:rPr>
          <w:sz w:val="28"/>
          <w:szCs w:val="28"/>
        </w:rPr>
        <w:t xml:space="preserve"> </w:t>
      </w:r>
      <w:r w:rsidRPr="00CC7A6C">
        <w:rPr>
          <w:sz w:val="28"/>
          <w:szCs w:val="28"/>
        </w:rPr>
        <w:t xml:space="preserve">protection planning, probate and trust administration.  An active member of the Delaware State Bar Association Trust Act Committee, Cindy is also a member the Pennsylvania and New Jersey Bars, Society of Trust and Estate Practitioners (STEP), the ABA Section of Real Property, Trust and Estate Law and the Asset Protection Planning Committee, a member of the Board of Directors of the Delaware Bankers Association, Chairman of the DBA’s Trust Committee and a member of the Board of Directors for Delaware </w:t>
      </w:r>
      <w:proofErr w:type="spellStart"/>
      <w:r w:rsidRPr="00CC7A6C">
        <w:rPr>
          <w:sz w:val="28"/>
          <w:szCs w:val="28"/>
        </w:rPr>
        <w:t>CarePlan</w:t>
      </w:r>
      <w:proofErr w:type="spellEnd"/>
      <w:r w:rsidRPr="00CC7A6C">
        <w:rPr>
          <w:sz w:val="28"/>
          <w:szCs w:val="28"/>
        </w:rPr>
        <w:t xml:space="preserve">, Inc.  Cindy has written and spoken on many topics relating to tax, estate planning, asset protection </w:t>
      </w:r>
      <w:r w:rsidRPr="00CC7A6C">
        <w:rPr>
          <w:sz w:val="28"/>
          <w:szCs w:val="28"/>
        </w:rPr>
        <w:lastRenderedPageBreak/>
        <w:t xml:space="preserve">planning, probate and trust administration which can be found at </w:t>
      </w:r>
      <w:r>
        <w:rPr>
          <w:sz w:val="28"/>
          <w:szCs w:val="28"/>
        </w:rPr>
        <w:t xml:space="preserve">this link: </w:t>
      </w:r>
      <w:hyperlink r:id="rId9" w:history="1">
        <w:r w:rsidRPr="008E2C0D">
          <w:rPr>
            <w:rStyle w:val="Hyperlink"/>
            <w:sz w:val="28"/>
            <w:szCs w:val="28"/>
          </w:rPr>
          <w:t>Cynthia Brown</w:t>
        </w:r>
      </w:hyperlink>
    </w:p>
    <w:p w:rsidR="006934B3" w:rsidRDefault="006934B3" w:rsidP="006934B3">
      <w:pPr>
        <w:spacing w:line="240" w:lineRule="auto"/>
        <w:rPr>
          <w:sz w:val="28"/>
          <w:szCs w:val="28"/>
        </w:rPr>
      </w:pPr>
      <w:r w:rsidRPr="00AB4234">
        <w:rPr>
          <w:sz w:val="28"/>
          <w:szCs w:val="28"/>
        </w:rPr>
        <w:t xml:space="preserve">What follows is a summary of the relevant issues to consider when drafting a Delaware asset protection trust under the Delaware Qualified Dispositions in Trust Act, 12 Del. C. § 3570, et. </w:t>
      </w:r>
      <w:proofErr w:type="gramStart"/>
      <w:r w:rsidRPr="00AB4234">
        <w:rPr>
          <w:sz w:val="28"/>
          <w:szCs w:val="28"/>
        </w:rPr>
        <w:t>seq., (the “Act”).</w:t>
      </w:r>
      <w:proofErr w:type="gramEnd"/>
      <w:r w:rsidRPr="00AB4234">
        <w:rPr>
          <w:sz w:val="28"/>
          <w:szCs w:val="28"/>
        </w:rPr>
        <w:t xml:space="preserve">  Included are the requirements for creating a trust (a Delaware asset protection Trust) under the Act, prohibited powers which the grantor may not retain under the Act, permissible powers which the grantor may retain under the Act and who may defeat a </w:t>
      </w:r>
      <w:r>
        <w:rPr>
          <w:sz w:val="28"/>
          <w:szCs w:val="28"/>
        </w:rPr>
        <w:t>Delaware asset protection trust</w:t>
      </w:r>
      <w:r w:rsidRPr="005306DE">
        <w:rPr>
          <w:sz w:val="28"/>
          <w:szCs w:val="28"/>
        </w:rPr>
        <w:t xml:space="preserve">. </w:t>
      </w:r>
    </w:p>
    <w:p w:rsidR="00FC2113" w:rsidRPr="00FC2113" w:rsidRDefault="00FC2113" w:rsidP="00FC2113">
      <w:pPr>
        <w:pStyle w:val="NormalWeb"/>
        <w:shd w:val="clear" w:color="auto" w:fill="FFFFFF"/>
        <w:rPr>
          <w:color w:val="000000"/>
          <w:sz w:val="27"/>
          <w:szCs w:val="27"/>
        </w:rPr>
      </w:pPr>
      <w:r>
        <w:rPr>
          <w:rStyle w:val="Strong"/>
          <w:color w:val="0000FF"/>
          <w:sz w:val="36"/>
          <w:szCs w:val="36"/>
        </w:rPr>
        <w:t>COMMENT:</w:t>
      </w:r>
      <w:r>
        <w:rPr>
          <w:rStyle w:val="Strong"/>
          <w:color w:val="0000FF"/>
          <w:sz w:val="32"/>
          <w:szCs w:val="32"/>
        </w:rPr>
        <w:t> </w:t>
      </w:r>
    </w:p>
    <w:p w:rsidR="00FC2113" w:rsidRPr="00433ADD" w:rsidRDefault="00FC2113" w:rsidP="00FC2113">
      <w:pPr>
        <w:pStyle w:val="ListParagraph"/>
        <w:numPr>
          <w:ilvl w:val="0"/>
          <w:numId w:val="18"/>
        </w:numPr>
        <w:rPr>
          <w:b/>
        </w:rPr>
      </w:pPr>
      <w:r w:rsidRPr="00433ADD">
        <w:rPr>
          <w:b/>
        </w:rPr>
        <w:t>Creating a Delaware Asset Protection Trust.</w:t>
      </w:r>
    </w:p>
    <w:p w:rsidR="00FC2113" w:rsidRDefault="00FC2113" w:rsidP="00FC2113">
      <w:pPr>
        <w:pStyle w:val="ListParagraph"/>
        <w:ind w:left="360"/>
      </w:pPr>
    </w:p>
    <w:p w:rsidR="00F7638C" w:rsidRPr="00FC2113" w:rsidRDefault="00F7638C" w:rsidP="00FC2113">
      <w:pPr>
        <w:pStyle w:val="ListParagraph"/>
        <w:ind w:left="360"/>
      </w:pPr>
      <w:r>
        <w:t xml:space="preserve">What follows is a summary of the relevant issues to consider when drafting a Delaware asset protection trust under the </w:t>
      </w:r>
      <w:r w:rsidR="00441190">
        <w:t xml:space="preserve">Delaware </w:t>
      </w:r>
      <w:r>
        <w:t xml:space="preserve">Qualified Dispositions in Trust Act, 12 </w:t>
      </w:r>
      <w:r>
        <w:rPr>
          <w:u w:val="single"/>
        </w:rPr>
        <w:t>Del</w:t>
      </w:r>
      <w:r>
        <w:t xml:space="preserve">. </w:t>
      </w:r>
      <w:r>
        <w:rPr>
          <w:u w:val="single"/>
        </w:rPr>
        <w:t>C</w:t>
      </w:r>
      <w:r>
        <w:t xml:space="preserve">. § 3570, et. </w:t>
      </w:r>
      <w:proofErr w:type="gramStart"/>
      <w:r>
        <w:t>seq., (the “Act”).</w:t>
      </w:r>
      <w:proofErr w:type="gramEnd"/>
      <w:r>
        <w:t xml:space="preserve">  Included are the requirements for creating a trust (a Delaware asset protection Trust) under the Act, prohibited powers which the grantor may not retain under the Act, permissible powers which the grantor may retain under the Act and who may defeat a Delaware asset protection trust.</w:t>
      </w:r>
    </w:p>
    <w:p w:rsidR="00F7638C" w:rsidRDefault="00F7638C" w:rsidP="00F7638C">
      <w:pPr>
        <w:spacing w:after="0" w:line="240" w:lineRule="auto"/>
        <w:ind w:left="360" w:firstLine="360"/>
        <w:contextualSpacing/>
      </w:pPr>
    </w:p>
    <w:p w:rsidR="00F7638C" w:rsidRPr="00F7638C" w:rsidRDefault="006934B3" w:rsidP="00433ADD">
      <w:pPr>
        <w:pStyle w:val="ListParagraph"/>
        <w:numPr>
          <w:ilvl w:val="1"/>
          <w:numId w:val="18"/>
        </w:numPr>
        <w:spacing w:after="0" w:line="240" w:lineRule="auto"/>
      </w:pPr>
      <w:r>
        <w:rPr>
          <w:b/>
        </w:rPr>
        <w:t>Requirements t</w:t>
      </w:r>
      <w:r w:rsidR="001954BD">
        <w:rPr>
          <w:b/>
        </w:rPr>
        <w:t>o Create a</w:t>
      </w:r>
      <w:r w:rsidR="00F7638C" w:rsidRPr="00433ADD">
        <w:rPr>
          <w:b/>
        </w:rPr>
        <w:t xml:space="preserve"> Delaware Asset Protection Trust.</w:t>
      </w:r>
    </w:p>
    <w:p w:rsidR="00F7638C" w:rsidRDefault="00F7638C" w:rsidP="00F7638C">
      <w:pPr>
        <w:spacing w:after="0" w:line="240" w:lineRule="auto"/>
        <w:rPr>
          <w:b/>
        </w:rPr>
      </w:pPr>
    </w:p>
    <w:p w:rsidR="00F7638C" w:rsidRDefault="00F7638C" w:rsidP="00F7638C">
      <w:pPr>
        <w:spacing w:after="0" w:line="240" w:lineRule="auto"/>
        <w:ind w:firstLine="720"/>
      </w:pPr>
      <w:r>
        <w:t>There are six requirements to create a Delaware asset protection trust under the Act.  These requirements are as follows:</w:t>
      </w:r>
    </w:p>
    <w:p w:rsidR="00D46562" w:rsidRDefault="00D46562" w:rsidP="00F7638C">
      <w:pPr>
        <w:spacing w:after="0" w:line="240" w:lineRule="auto"/>
        <w:ind w:firstLine="720"/>
      </w:pPr>
    </w:p>
    <w:p w:rsidR="00D46562" w:rsidRDefault="00D46562" w:rsidP="00433ADD">
      <w:pPr>
        <w:pStyle w:val="ListParagraph"/>
        <w:numPr>
          <w:ilvl w:val="2"/>
          <w:numId w:val="18"/>
        </w:numPr>
        <w:spacing w:after="0" w:line="240" w:lineRule="auto"/>
      </w:pPr>
      <w:r>
        <w:t xml:space="preserve">A disposition by a transferor by means of a trust instrument.  12 </w:t>
      </w:r>
      <w:r w:rsidRPr="00433ADD">
        <w:rPr>
          <w:u w:val="single"/>
        </w:rPr>
        <w:t>Del</w:t>
      </w:r>
      <w:r>
        <w:t xml:space="preserve">. </w:t>
      </w:r>
      <w:r w:rsidRPr="00433ADD">
        <w:rPr>
          <w:u w:val="single"/>
        </w:rPr>
        <w:t>C</w:t>
      </w:r>
      <w:r>
        <w:t>. § 3570(7).</w:t>
      </w:r>
    </w:p>
    <w:p w:rsidR="003E4C7B" w:rsidRDefault="003E4C7B" w:rsidP="003E4C7B">
      <w:pPr>
        <w:pStyle w:val="ListParagraph"/>
        <w:numPr>
          <w:ilvl w:val="0"/>
          <w:numId w:val="25"/>
        </w:numPr>
        <w:spacing w:after="0" w:line="240" w:lineRule="auto"/>
      </w:pPr>
      <w:r>
        <w:t xml:space="preserve">The term “disposition” is defined under the Act as a transfer, conveyance or assignment of property (including a change in the legal ownership of property occurring upon the substitution of one trustee for the addition of one or more new trustees), or the exercise of a power so as to cause a transfer of property, to a trustee or trustees, but shall not include the release or relinquishment of an interest in property that theretofore was the subject of a qualified disposition.  12 </w:t>
      </w:r>
      <w:r>
        <w:rPr>
          <w:u w:val="single"/>
        </w:rPr>
        <w:t>Del</w:t>
      </w:r>
      <w:r>
        <w:t xml:space="preserve">. </w:t>
      </w:r>
      <w:r>
        <w:rPr>
          <w:u w:val="single"/>
        </w:rPr>
        <w:t>C</w:t>
      </w:r>
      <w:r>
        <w:t>. § 3570(4).</w:t>
      </w:r>
    </w:p>
    <w:p w:rsidR="003E4C7B" w:rsidRDefault="003E4C7B" w:rsidP="003E4C7B">
      <w:pPr>
        <w:pStyle w:val="ListParagraph"/>
        <w:numPr>
          <w:ilvl w:val="0"/>
          <w:numId w:val="25"/>
        </w:numPr>
        <w:spacing w:after="0" w:line="240" w:lineRule="auto"/>
      </w:pPr>
      <w:r>
        <w:t>The Act defines the term “transferor” as a person who, as the owner of property, as a holder of a general power of appointment, or as a trustee, directly or indirectly makes a disposition or cause</w:t>
      </w:r>
      <w:r w:rsidR="00752DE1">
        <w:t>s</w:t>
      </w:r>
      <w:r>
        <w:t xml:space="preserve"> a disposition to be made.  12 </w:t>
      </w:r>
      <w:r>
        <w:rPr>
          <w:u w:val="single"/>
        </w:rPr>
        <w:t>Del</w:t>
      </w:r>
      <w:r>
        <w:t xml:space="preserve">. </w:t>
      </w:r>
      <w:r>
        <w:rPr>
          <w:u w:val="single"/>
        </w:rPr>
        <w:t>C</w:t>
      </w:r>
      <w:r>
        <w:t>. § 3570(10).</w:t>
      </w:r>
    </w:p>
    <w:p w:rsidR="003E4C7B" w:rsidRDefault="003E4C7B" w:rsidP="003E4C7B">
      <w:pPr>
        <w:pStyle w:val="ListParagraph"/>
        <w:numPr>
          <w:ilvl w:val="0"/>
          <w:numId w:val="25"/>
        </w:numPr>
        <w:spacing w:after="0" w:line="240" w:lineRule="auto"/>
      </w:pPr>
      <w:r>
        <w:t xml:space="preserve">The Act provides that the term “person” shall have the same meaning described to it in 1 </w:t>
      </w:r>
      <w:r>
        <w:rPr>
          <w:u w:val="single"/>
        </w:rPr>
        <w:t>Del</w:t>
      </w:r>
      <w:r>
        <w:t xml:space="preserve">. </w:t>
      </w:r>
      <w:r>
        <w:rPr>
          <w:u w:val="single"/>
        </w:rPr>
        <w:t>C</w:t>
      </w:r>
      <w:r>
        <w:t xml:space="preserve">. § 3302(15), which includes an individual, a </w:t>
      </w:r>
      <w:r>
        <w:lastRenderedPageBreak/>
        <w:t xml:space="preserve">corporation, company, association, firm, partnership, society, or joint-stock company.  12 </w:t>
      </w:r>
      <w:r>
        <w:rPr>
          <w:u w:val="single"/>
        </w:rPr>
        <w:t>Del</w:t>
      </w:r>
      <w:r>
        <w:t xml:space="preserve">. </w:t>
      </w:r>
      <w:r>
        <w:rPr>
          <w:u w:val="single"/>
        </w:rPr>
        <w:t>C</w:t>
      </w:r>
      <w:r>
        <w:t>. § 3570(6).</w:t>
      </w:r>
    </w:p>
    <w:p w:rsidR="003E4C7B" w:rsidRDefault="003E4C7B" w:rsidP="003E4C7B">
      <w:pPr>
        <w:pStyle w:val="ListParagraph"/>
        <w:numPr>
          <w:ilvl w:val="0"/>
          <w:numId w:val="25"/>
        </w:numPr>
        <w:spacing w:after="0" w:line="240" w:lineRule="auto"/>
      </w:pPr>
      <w:r>
        <w:t xml:space="preserve">The Act defines the term “Qualified disposition” as a disposition by or from a transferor (or multiple transferors in the case of property in which each such transferor owns an undivided interest) to one or more trustees, at least one of which is a Qualified trustee, with or without consideration, by means of a trust instrument.  12 </w:t>
      </w:r>
      <w:r>
        <w:rPr>
          <w:u w:val="single"/>
        </w:rPr>
        <w:t>Del</w:t>
      </w:r>
      <w:r>
        <w:t xml:space="preserve">. </w:t>
      </w:r>
      <w:r>
        <w:rPr>
          <w:u w:val="single"/>
        </w:rPr>
        <w:t>C</w:t>
      </w:r>
      <w:r>
        <w:t>. § 3570(7).</w:t>
      </w:r>
    </w:p>
    <w:p w:rsidR="00D46562" w:rsidRDefault="00D46562" w:rsidP="00D46562">
      <w:pPr>
        <w:spacing w:after="0" w:line="240" w:lineRule="auto"/>
      </w:pPr>
    </w:p>
    <w:p w:rsidR="00D46562" w:rsidRDefault="00D46562" w:rsidP="00433ADD">
      <w:pPr>
        <w:pStyle w:val="ListParagraph"/>
        <w:numPr>
          <w:ilvl w:val="2"/>
          <w:numId w:val="18"/>
        </w:numPr>
        <w:spacing w:after="0" w:line="240" w:lineRule="auto"/>
      </w:pPr>
      <w:r>
        <w:t xml:space="preserve">The trust instrument must appoint a qualified trustee within the meaning of 12 </w:t>
      </w:r>
      <w:r w:rsidRPr="00433ADD">
        <w:rPr>
          <w:u w:val="single"/>
        </w:rPr>
        <w:t>Del</w:t>
      </w:r>
      <w:r>
        <w:t xml:space="preserve">. </w:t>
      </w:r>
      <w:r w:rsidRPr="00433ADD">
        <w:rPr>
          <w:u w:val="single"/>
        </w:rPr>
        <w:t>C</w:t>
      </w:r>
      <w:r>
        <w:t xml:space="preserve">. § 3570(8).  12 </w:t>
      </w:r>
      <w:r w:rsidRPr="00433ADD">
        <w:rPr>
          <w:u w:val="single"/>
        </w:rPr>
        <w:t>Del</w:t>
      </w:r>
      <w:r>
        <w:t xml:space="preserve">. </w:t>
      </w:r>
      <w:r w:rsidRPr="00433ADD">
        <w:rPr>
          <w:u w:val="single"/>
        </w:rPr>
        <w:t>C</w:t>
      </w:r>
      <w:r>
        <w:t>. § 3570(11).</w:t>
      </w:r>
    </w:p>
    <w:p w:rsidR="003E4C7B" w:rsidRDefault="003E4C7B" w:rsidP="003E4C7B">
      <w:pPr>
        <w:pStyle w:val="ListParagraph"/>
        <w:numPr>
          <w:ilvl w:val="0"/>
          <w:numId w:val="26"/>
        </w:numPr>
        <w:spacing w:after="0" w:line="240" w:lineRule="auto"/>
      </w:pPr>
      <w:r>
        <w:t xml:space="preserve">The Act defines the term “Qualified trustee” as a natural person, who is a resident of the State of Delaware other than the transferor, or in all other cases a trustee that is authorized by the laws of the State of Delaware to act as trustee and whose activities are subject to the supervision by the Delaware State Bank Commissioner, the Federal Deposit Corporation, the Comptroller of Currency, or the Office of Thrift Supervision.  12 </w:t>
      </w:r>
      <w:r>
        <w:rPr>
          <w:u w:val="single"/>
        </w:rPr>
        <w:t>Del</w:t>
      </w:r>
      <w:r>
        <w:t xml:space="preserve">. </w:t>
      </w:r>
      <w:r>
        <w:rPr>
          <w:u w:val="single"/>
        </w:rPr>
        <w:t>C</w:t>
      </w:r>
      <w:r>
        <w:t>. § 3570(8</w:t>
      </w:r>
      <w:proofErr w:type="gramStart"/>
      <w:r>
        <w:t>)a</w:t>
      </w:r>
      <w:proofErr w:type="gramEnd"/>
      <w:r>
        <w:t>.</w:t>
      </w:r>
    </w:p>
    <w:p w:rsidR="00D46562" w:rsidRDefault="00D46562" w:rsidP="00D46562">
      <w:pPr>
        <w:spacing w:after="0" w:line="240" w:lineRule="auto"/>
      </w:pPr>
    </w:p>
    <w:p w:rsidR="00D46562" w:rsidRDefault="00D46562" w:rsidP="00433ADD">
      <w:pPr>
        <w:pStyle w:val="ListParagraph"/>
        <w:numPr>
          <w:ilvl w:val="2"/>
          <w:numId w:val="18"/>
        </w:numPr>
        <w:spacing w:after="0" w:line="240" w:lineRule="auto"/>
      </w:pPr>
      <w:r>
        <w:t xml:space="preserve">The qualified trustee must maintain or arrange for custody in Delaware of at least some of the trust assets, maintain records for the trust on an exclusive or non-exclusive </w:t>
      </w:r>
      <w:proofErr w:type="gramStart"/>
      <w:r>
        <w:t>basis,</w:t>
      </w:r>
      <w:proofErr w:type="gramEnd"/>
      <w:r>
        <w:t xml:space="preserve"> prepare or arrange for the preparation of fiduciary income tax returns for the trust or otherwise materially participate in the administration of the trust.  12 </w:t>
      </w:r>
      <w:r w:rsidRPr="00433ADD">
        <w:rPr>
          <w:u w:val="single"/>
        </w:rPr>
        <w:t>Del</w:t>
      </w:r>
      <w:r>
        <w:t xml:space="preserve">. </w:t>
      </w:r>
      <w:r w:rsidRPr="00433ADD">
        <w:rPr>
          <w:u w:val="single"/>
        </w:rPr>
        <w:t>C</w:t>
      </w:r>
      <w:r>
        <w:t>. § 3570(8</w:t>
      </w:r>
      <w:proofErr w:type="gramStart"/>
      <w:r>
        <w:t>)b</w:t>
      </w:r>
      <w:proofErr w:type="gramEnd"/>
      <w:r>
        <w:t>.</w:t>
      </w:r>
    </w:p>
    <w:p w:rsidR="00D46562" w:rsidRDefault="00D46562" w:rsidP="00D46562">
      <w:pPr>
        <w:pStyle w:val="ListParagraph"/>
      </w:pPr>
    </w:p>
    <w:p w:rsidR="00D46562" w:rsidRDefault="00D46562" w:rsidP="00433ADD">
      <w:pPr>
        <w:pStyle w:val="ListParagraph"/>
        <w:numPr>
          <w:ilvl w:val="2"/>
          <w:numId w:val="18"/>
        </w:numPr>
        <w:spacing w:after="0" w:line="240" w:lineRule="auto"/>
      </w:pPr>
      <w:r>
        <w:t xml:space="preserve">The trust must provide that Delaware law governs the validity, construction and administration of the trust.  12 </w:t>
      </w:r>
      <w:r w:rsidRPr="00433ADD">
        <w:rPr>
          <w:u w:val="single"/>
        </w:rPr>
        <w:t>Del</w:t>
      </w:r>
      <w:r>
        <w:t xml:space="preserve">. </w:t>
      </w:r>
      <w:r w:rsidRPr="00433ADD">
        <w:rPr>
          <w:u w:val="single"/>
        </w:rPr>
        <w:t>C</w:t>
      </w:r>
      <w:r>
        <w:t>. § 3570(11</w:t>
      </w:r>
      <w:proofErr w:type="gramStart"/>
      <w:r>
        <w:t>)a</w:t>
      </w:r>
      <w:proofErr w:type="gramEnd"/>
      <w:r>
        <w:t>.</w:t>
      </w:r>
    </w:p>
    <w:p w:rsidR="00D46562" w:rsidRDefault="00D46562" w:rsidP="00D46562">
      <w:pPr>
        <w:pStyle w:val="ListParagraph"/>
      </w:pPr>
    </w:p>
    <w:p w:rsidR="00D46562" w:rsidRDefault="00D46562" w:rsidP="00433ADD">
      <w:pPr>
        <w:pStyle w:val="ListParagraph"/>
        <w:numPr>
          <w:ilvl w:val="2"/>
          <w:numId w:val="18"/>
        </w:numPr>
        <w:spacing w:after="0" w:line="240" w:lineRule="auto"/>
      </w:pPr>
      <w:r>
        <w:t xml:space="preserve">The trust must be irrevocable.  12 </w:t>
      </w:r>
      <w:r w:rsidRPr="00433ADD">
        <w:rPr>
          <w:u w:val="single"/>
        </w:rPr>
        <w:t>Del</w:t>
      </w:r>
      <w:r>
        <w:t xml:space="preserve">. </w:t>
      </w:r>
      <w:r w:rsidRPr="00433ADD">
        <w:rPr>
          <w:u w:val="single"/>
        </w:rPr>
        <w:t>C</w:t>
      </w:r>
      <w:r>
        <w:t>. § 3570(11</w:t>
      </w:r>
      <w:proofErr w:type="gramStart"/>
      <w:r>
        <w:t>)b</w:t>
      </w:r>
      <w:proofErr w:type="gramEnd"/>
      <w:r>
        <w:t>.</w:t>
      </w:r>
    </w:p>
    <w:p w:rsidR="00D46562" w:rsidRDefault="00D46562" w:rsidP="00D46562">
      <w:pPr>
        <w:pStyle w:val="ListParagraph"/>
      </w:pPr>
    </w:p>
    <w:p w:rsidR="00D46562" w:rsidRDefault="00D46562" w:rsidP="00433ADD">
      <w:pPr>
        <w:pStyle w:val="ListParagraph"/>
        <w:numPr>
          <w:ilvl w:val="2"/>
          <w:numId w:val="18"/>
        </w:numPr>
        <w:spacing w:after="0" w:line="240" w:lineRule="auto"/>
      </w:pPr>
      <w:r>
        <w:t xml:space="preserve">The trust must contain a spend-thrift clause which should make reference to the Bankruptcy Code.  12 </w:t>
      </w:r>
      <w:r w:rsidRPr="00433ADD">
        <w:rPr>
          <w:u w:val="single"/>
        </w:rPr>
        <w:t>Del</w:t>
      </w:r>
      <w:r>
        <w:t xml:space="preserve">. </w:t>
      </w:r>
      <w:r w:rsidRPr="00433ADD">
        <w:rPr>
          <w:u w:val="single"/>
        </w:rPr>
        <w:t>C</w:t>
      </w:r>
      <w:r>
        <w:t>. § 3570(11</w:t>
      </w:r>
      <w:proofErr w:type="gramStart"/>
      <w:r>
        <w:t>)c</w:t>
      </w:r>
      <w:proofErr w:type="gramEnd"/>
      <w:r>
        <w:t>.</w:t>
      </w:r>
    </w:p>
    <w:p w:rsidR="00D46562" w:rsidRDefault="00D46562" w:rsidP="00D46562">
      <w:pPr>
        <w:spacing w:after="0" w:line="240" w:lineRule="auto"/>
      </w:pPr>
    </w:p>
    <w:p w:rsidR="00D46562" w:rsidRPr="00433ADD" w:rsidRDefault="00D46562" w:rsidP="00433ADD">
      <w:pPr>
        <w:pStyle w:val="ListParagraph"/>
        <w:numPr>
          <w:ilvl w:val="1"/>
          <w:numId w:val="18"/>
        </w:numPr>
        <w:spacing w:after="0" w:line="240" w:lineRule="auto"/>
      </w:pPr>
      <w:r w:rsidRPr="00433ADD">
        <w:rPr>
          <w:b/>
        </w:rPr>
        <w:t>Prohibited Grantor Powers.</w:t>
      </w:r>
    </w:p>
    <w:p w:rsidR="00433ADD" w:rsidRDefault="00433ADD" w:rsidP="00433ADD">
      <w:pPr>
        <w:spacing w:after="0" w:line="240" w:lineRule="auto"/>
      </w:pPr>
    </w:p>
    <w:p w:rsidR="00433ADD" w:rsidRDefault="00433ADD" w:rsidP="00433ADD">
      <w:pPr>
        <w:pStyle w:val="ListParagraph"/>
        <w:spacing w:after="0" w:line="240" w:lineRule="auto"/>
        <w:ind w:left="0" w:firstLine="720"/>
      </w:pPr>
      <w:r>
        <w:t>There are several powers that are impermissible for the grantor to retain under the Act.  These powers include:</w:t>
      </w:r>
    </w:p>
    <w:p w:rsidR="00433ADD" w:rsidRDefault="00433ADD" w:rsidP="00433ADD">
      <w:pPr>
        <w:pStyle w:val="ListParagraph"/>
        <w:spacing w:after="0" w:line="240" w:lineRule="auto"/>
        <w:ind w:left="1080"/>
      </w:pPr>
    </w:p>
    <w:p w:rsidR="00D46562" w:rsidRDefault="00D46562" w:rsidP="00433ADD">
      <w:pPr>
        <w:pStyle w:val="ListParagraph"/>
        <w:numPr>
          <w:ilvl w:val="2"/>
          <w:numId w:val="18"/>
        </w:numPr>
        <w:spacing w:after="0" w:line="240" w:lineRule="auto"/>
      </w:pPr>
      <w:r>
        <w:t xml:space="preserve">The grantor may not serve as trustee of the trust.  12 </w:t>
      </w:r>
      <w:r w:rsidRPr="00433ADD">
        <w:rPr>
          <w:u w:val="single"/>
        </w:rPr>
        <w:t>Del</w:t>
      </w:r>
      <w:r>
        <w:t xml:space="preserve">. </w:t>
      </w:r>
      <w:r w:rsidRPr="00433ADD">
        <w:rPr>
          <w:u w:val="single"/>
        </w:rPr>
        <w:t>C</w:t>
      </w:r>
      <w:r>
        <w:t>. § 3570(8</w:t>
      </w:r>
      <w:proofErr w:type="gramStart"/>
      <w:r>
        <w:t>)a</w:t>
      </w:r>
      <w:proofErr w:type="gramEnd"/>
      <w:r>
        <w:t>. &amp; (8)c.</w:t>
      </w:r>
    </w:p>
    <w:p w:rsidR="003E4C7B" w:rsidRDefault="003E4C7B" w:rsidP="003E4C7B">
      <w:pPr>
        <w:pStyle w:val="ListParagraph"/>
        <w:numPr>
          <w:ilvl w:val="0"/>
          <w:numId w:val="26"/>
        </w:numPr>
        <w:spacing w:after="0" w:line="240" w:lineRule="auto"/>
      </w:pPr>
      <w:r>
        <w:t xml:space="preserve">The grantor may appoint additional co-trustees of the trust that are not </w:t>
      </w:r>
      <w:proofErr w:type="gramStart"/>
      <w:r>
        <w:t>Qualified</w:t>
      </w:r>
      <w:proofErr w:type="gramEnd"/>
      <w:r>
        <w:t xml:space="preserve"> trustees within the meaning of the Act.  12 </w:t>
      </w:r>
      <w:r>
        <w:rPr>
          <w:u w:val="single"/>
        </w:rPr>
        <w:t>Del</w:t>
      </w:r>
      <w:r>
        <w:t xml:space="preserve">. </w:t>
      </w:r>
      <w:r>
        <w:rPr>
          <w:u w:val="single"/>
        </w:rPr>
        <w:t>C</w:t>
      </w:r>
      <w:r>
        <w:t>. § 3570(8</w:t>
      </w:r>
      <w:proofErr w:type="gramStart"/>
      <w:r>
        <w:t>)c</w:t>
      </w:r>
      <w:proofErr w:type="gramEnd"/>
      <w:r>
        <w:t>.</w:t>
      </w:r>
    </w:p>
    <w:p w:rsidR="00D46562" w:rsidRDefault="00D46562" w:rsidP="00D46562">
      <w:pPr>
        <w:spacing w:after="0" w:line="240" w:lineRule="auto"/>
      </w:pPr>
    </w:p>
    <w:p w:rsidR="00D46562" w:rsidRDefault="00D46562" w:rsidP="00433ADD">
      <w:pPr>
        <w:pStyle w:val="ListParagraph"/>
        <w:numPr>
          <w:ilvl w:val="2"/>
          <w:numId w:val="18"/>
        </w:numPr>
        <w:spacing w:after="0" w:line="240" w:lineRule="auto"/>
      </w:pPr>
      <w:r>
        <w:t xml:space="preserve">The grantor may not serve in an advisory position (including as a trust protector or distribution adviser) provided the grantor may serve as investment adviser for the trust.  12 </w:t>
      </w:r>
      <w:r w:rsidRPr="00433ADD">
        <w:rPr>
          <w:u w:val="single"/>
        </w:rPr>
        <w:t>Del</w:t>
      </w:r>
      <w:r>
        <w:t xml:space="preserve">. </w:t>
      </w:r>
      <w:r w:rsidRPr="00433ADD">
        <w:rPr>
          <w:u w:val="single"/>
        </w:rPr>
        <w:t>C</w:t>
      </w:r>
      <w:r>
        <w:t>. § 3570(8</w:t>
      </w:r>
      <w:proofErr w:type="gramStart"/>
      <w:r>
        <w:t>)d</w:t>
      </w:r>
      <w:proofErr w:type="gramEnd"/>
      <w:r>
        <w:t xml:space="preserve">. &amp; 12 </w:t>
      </w:r>
      <w:r w:rsidRPr="00433ADD">
        <w:rPr>
          <w:u w:val="single"/>
        </w:rPr>
        <w:t>Del</w:t>
      </w:r>
      <w:r>
        <w:t xml:space="preserve">. </w:t>
      </w:r>
      <w:r w:rsidRPr="00433ADD">
        <w:rPr>
          <w:u w:val="single"/>
        </w:rPr>
        <w:t>C</w:t>
      </w:r>
      <w:r>
        <w:t>. § 3571.</w:t>
      </w:r>
    </w:p>
    <w:p w:rsidR="00D46562" w:rsidRDefault="00D46562" w:rsidP="00D46562">
      <w:pPr>
        <w:pStyle w:val="ListParagraph"/>
      </w:pPr>
    </w:p>
    <w:p w:rsidR="00D46562" w:rsidRDefault="00D46562" w:rsidP="00433ADD">
      <w:pPr>
        <w:pStyle w:val="ListParagraph"/>
        <w:numPr>
          <w:ilvl w:val="2"/>
          <w:numId w:val="18"/>
        </w:numPr>
        <w:spacing w:after="0" w:line="240" w:lineRule="auto"/>
      </w:pPr>
      <w:r>
        <w:lastRenderedPageBreak/>
        <w:t xml:space="preserve">The grantor may not retain the power to direct distributions from the trust.  12 </w:t>
      </w:r>
      <w:r w:rsidRPr="00433ADD">
        <w:rPr>
          <w:u w:val="single"/>
        </w:rPr>
        <w:t>Del</w:t>
      </w:r>
      <w:r>
        <w:t xml:space="preserve">. </w:t>
      </w:r>
      <w:r w:rsidRPr="00433ADD">
        <w:rPr>
          <w:u w:val="single"/>
        </w:rPr>
        <w:t>C</w:t>
      </w:r>
      <w:r>
        <w:t>. § 3570(8</w:t>
      </w:r>
      <w:proofErr w:type="gramStart"/>
      <w:r>
        <w:t>)d</w:t>
      </w:r>
      <w:proofErr w:type="gramEnd"/>
      <w:r>
        <w:t xml:space="preserve">. &amp; 12 </w:t>
      </w:r>
      <w:r w:rsidRPr="00433ADD">
        <w:rPr>
          <w:u w:val="single"/>
        </w:rPr>
        <w:t>Del</w:t>
      </w:r>
      <w:r>
        <w:t xml:space="preserve">. </w:t>
      </w:r>
      <w:r w:rsidRPr="00433ADD">
        <w:rPr>
          <w:u w:val="single"/>
        </w:rPr>
        <w:t>C</w:t>
      </w:r>
      <w:r>
        <w:t>. § 3571.</w:t>
      </w:r>
    </w:p>
    <w:p w:rsidR="00D46562" w:rsidRDefault="00D46562" w:rsidP="00D46562">
      <w:pPr>
        <w:pStyle w:val="ListParagraph"/>
      </w:pPr>
    </w:p>
    <w:p w:rsidR="00D46562" w:rsidRDefault="00D46562" w:rsidP="00433ADD">
      <w:pPr>
        <w:pStyle w:val="ListParagraph"/>
        <w:numPr>
          <w:ilvl w:val="2"/>
          <w:numId w:val="18"/>
        </w:numPr>
        <w:spacing w:after="0" w:line="240" w:lineRule="auto"/>
      </w:pPr>
      <w:r>
        <w:t xml:space="preserve">The grantor may not demand a return of assets transferred to the trust.  12 </w:t>
      </w:r>
      <w:r w:rsidRPr="00433ADD">
        <w:rPr>
          <w:u w:val="single"/>
        </w:rPr>
        <w:t>Del</w:t>
      </w:r>
      <w:r>
        <w:t xml:space="preserve">. </w:t>
      </w:r>
      <w:r w:rsidRPr="00433ADD">
        <w:rPr>
          <w:u w:val="single"/>
        </w:rPr>
        <w:t>C</w:t>
      </w:r>
      <w:r>
        <w:t>. § 3571.</w:t>
      </w:r>
    </w:p>
    <w:p w:rsidR="00D46562" w:rsidRDefault="00D46562" w:rsidP="00D46562">
      <w:pPr>
        <w:pStyle w:val="ListParagraph"/>
      </w:pPr>
    </w:p>
    <w:p w:rsidR="00D46562" w:rsidRPr="00433ADD" w:rsidRDefault="00D46562" w:rsidP="00433ADD">
      <w:pPr>
        <w:pStyle w:val="ListParagraph"/>
        <w:numPr>
          <w:ilvl w:val="1"/>
          <w:numId w:val="18"/>
        </w:numPr>
        <w:spacing w:after="0" w:line="240" w:lineRule="auto"/>
      </w:pPr>
      <w:r w:rsidRPr="00433ADD">
        <w:rPr>
          <w:b/>
        </w:rPr>
        <w:t>Permissible Powers Retained by Grantor.</w:t>
      </w:r>
    </w:p>
    <w:p w:rsidR="00D46562" w:rsidRDefault="00D46562" w:rsidP="00D46562">
      <w:pPr>
        <w:spacing w:after="0" w:line="240" w:lineRule="auto"/>
        <w:ind w:left="720"/>
      </w:pPr>
    </w:p>
    <w:p w:rsidR="00433ADD" w:rsidRDefault="00433ADD" w:rsidP="00433ADD">
      <w:pPr>
        <w:pStyle w:val="ListParagraph"/>
        <w:spacing w:after="0" w:line="240" w:lineRule="auto"/>
        <w:ind w:left="0" w:firstLine="720"/>
      </w:pPr>
      <w:r>
        <w:t>The Act permits the grantor to retain a variety of powers.  These powers include:</w:t>
      </w:r>
    </w:p>
    <w:p w:rsidR="00433ADD" w:rsidRDefault="00433ADD" w:rsidP="00433ADD">
      <w:pPr>
        <w:pStyle w:val="ListParagraph"/>
        <w:spacing w:after="0" w:line="240" w:lineRule="auto"/>
        <w:ind w:left="1080"/>
      </w:pPr>
    </w:p>
    <w:p w:rsidR="00D46562" w:rsidRDefault="00D46562" w:rsidP="00433ADD">
      <w:pPr>
        <w:pStyle w:val="ListParagraph"/>
        <w:numPr>
          <w:ilvl w:val="2"/>
          <w:numId w:val="20"/>
        </w:numPr>
        <w:spacing w:after="0" w:line="240" w:lineRule="auto"/>
      </w:pPr>
      <w:r>
        <w:t xml:space="preserve">The grantor may serve as investment adviser for the trust and as such retain the right to consent to or direct investment decisions.  12 </w:t>
      </w:r>
      <w:r w:rsidRPr="00433ADD">
        <w:rPr>
          <w:u w:val="single"/>
        </w:rPr>
        <w:t>Del</w:t>
      </w:r>
      <w:r>
        <w:t xml:space="preserve">. </w:t>
      </w:r>
      <w:r w:rsidRPr="00433ADD">
        <w:rPr>
          <w:u w:val="single"/>
        </w:rPr>
        <w:t>C</w:t>
      </w:r>
      <w:r>
        <w:t>. § 3570(8</w:t>
      </w:r>
      <w:proofErr w:type="gramStart"/>
      <w:r>
        <w:t>)d</w:t>
      </w:r>
      <w:proofErr w:type="gramEnd"/>
      <w:r>
        <w:t>.</w:t>
      </w:r>
    </w:p>
    <w:p w:rsidR="003E4C7B" w:rsidRDefault="003E4C7B" w:rsidP="003E4C7B">
      <w:pPr>
        <w:pStyle w:val="ListParagraph"/>
        <w:numPr>
          <w:ilvl w:val="0"/>
          <w:numId w:val="26"/>
        </w:numPr>
        <w:spacing w:after="0" w:line="240" w:lineRule="auto"/>
      </w:pPr>
      <w:r>
        <w:t>It is common practice in Delaware to have the grantor serve as Investment Adviser of the trust and thereby direct the trustee with respect to the investment of the trust assets.</w:t>
      </w:r>
    </w:p>
    <w:p w:rsidR="00D46562" w:rsidRDefault="00D46562" w:rsidP="00D46562">
      <w:pPr>
        <w:spacing w:after="0" w:line="240" w:lineRule="auto"/>
      </w:pPr>
    </w:p>
    <w:p w:rsidR="00D46562" w:rsidRDefault="00D46562" w:rsidP="00433ADD">
      <w:pPr>
        <w:pStyle w:val="ListParagraph"/>
        <w:numPr>
          <w:ilvl w:val="2"/>
          <w:numId w:val="20"/>
        </w:numPr>
        <w:spacing w:after="0" w:line="240" w:lineRule="auto"/>
      </w:pPr>
      <w:r>
        <w:t xml:space="preserve">The grantor may retain the power to veto distributions of income or principal from the trust.  12 </w:t>
      </w:r>
      <w:r w:rsidRPr="00433ADD">
        <w:rPr>
          <w:u w:val="single"/>
        </w:rPr>
        <w:t>Del</w:t>
      </w:r>
      <w:r>
        <w:t xml:space="preserve">. </w:t>
      </w:r>
      <w:r w:rsidRPr="00433ADD">
        <w:rPr>
          <w:u w:val="single"/>
        </w:rPr>
        <w:t>C</w:t>
      </w:r>
      <w:r>
        <w:t>. § 3570(11</w:t>
      </w:r>
      <w:proofErr w:type="gramStart"/>
      <w:r>
        <w:t>)b.1</w:t>
      </w:r>
      <w:proofErr w:type="gramEnd"/>
      <w:r>
        <w:t>.</w:t>
      </w:r>
    </w:p>
    <w:p w:rsidR="003E4C7B" w:rsidRDefault="003E4C7B" w:rsidP="003E4C7B">
      <w:pPr>
        <w:pStyle w:val="ListParagraph"/>
        <w:numPr>
          <w:ilvl w:val="0"/>
          <w:numId w:val="26"/>
        </w:numPr>
        <w:spacing w:after="0" w:line="240" w:lineRule="auto"/>
      </w:pPr>
      <w:r>
        <w:t xml:space="preserve">In the event the grantor intends to structure the transfer into the trust as an incomplete gift for federal gift tax purposes it is important for the grantor to retain the veto power permitted by 12 </w:t>
      </w:r>
      <w:r>
        <w:rPr>
          <w:u w:val="single"/>
        </w:rPr>
        <w:t>Del</w:t>
      </w:r>
      <w:r>
        <w:t xml:space="preserve">. </w:t>
      </w:r>
      <w:r>
        <w:rPr>
          <w:u w:val="single"/>
        </w:rPr>
        <w:t>C</w:t>
      </w:r>
      <w:r>
        <w:t>. § 3570(11)b.1.</w:t>
      </w:r>
    </w:p>
    <w:p w:rsidR="00D46562" w:rsidRDefault="00D46562" w:rsidP="00D46562">
      <w:pPr>
        <w:pStyle w:val="ListParagraph"/>
      </w:pPr>
    </w:p>
    <w:p w:rsidR="00D46562" w:rsidRDefault="00D46562" w:rsidP="00433ADD">
      <w:pPr>
        <w:pStyle w:val="ListParagraph"/>
        <w:numPr>
          <w:ilvl w:val="2"/>
          <w:numId w:val="20"/>
        </w:numPr>
        <w:spacing w:after="0" w:line="240" w:lineRule="auto"/>
      </w:pPr>
      <w:r>
        <w:t xml:space="preserve">The grantor may appoint advisers who have authority to remove and appoint qualified trustees or trust advisers, advisers who have authority to direct, consent to or disapprove distributions from the trust and advisers described in 12 </w:t>
      </w:r>
      <w:r w:rsidRPr="00433ADD">
        <w:rPr>
          <w:u w:val="single"/>
        </w:rPr>
        <w:t>Del</w:t>
      </w:r>
      <w:r>
        <w:t xml:space="preserve">. </w:t>
      </w:r>
      <w:r w:rsidRPr="00433ADD">
        <w:rPr>
          <w:u w:val="single"/>
        </w:rPr>
        <w:t>C</w:t>
      </w:r>
      <w:r>
        <w:t xml:space="preserve">. § 3313.  12 </w:t>
      </w:r>
      <w:r w:rsidRPr="00433ADD">
        <w:rPr>
          <w:u w:val="single"/>
        </w:rPr>
        <w:t>Del</w:t>
      </w:r>
      <w:r>
        <w:t xml:space="preserve">. </w:t>
      </w:r>
      <w:r w:rsidRPr="00433ADD">
        <w:rPr>
          <w:u w:val="single"/>
        </w:rPr>
        <w:t>C</w:t>
      </w:r>
      <w:r>
        <w:t>. § 3570(8</w:t>
      </w:r>
      <w:proofErr w:type="gramStart"/>
      <w:r>
        <w:t>)c</w:t>
      </w:r>
      <w:proofErr w:type="gramEnd"/>
      <w:r>
        <w:t>.</w:t>
      </w:r>
    </w:p>
    <w:p w:rsidR="003E4C7B" w:rsidRDefault="003E4C7B" w:rsidP="003E4C7B">
      <w:pPr>
        <w:pStyle w:val="ListParagraph"/>
        <w:numPr>
          <w:ilvl w:val="0"/>
          <w:numId w:val="26"/>
        </w:numPr>
        <w:spacing w:after="0" w:line="240" w:lineRule="auto"/>
      </w:pPr>
      <w:r>
        <w:t>It is common practice for trust instruments drafted in accordance with the provisions of the Act to create the position</w:t>
      </w:r>
      <w:r w:rsidR="00752DE1">
        <w:t>s</w:t>
      </w:r>
      <w:r>
        <w:t xml:space="preserve"> of Distribution Adviser to direct the trustee with respect to the distribution of trust assets to the beneficiaries and Trust Protector to direct the trustee with respect to certain other decisions.</w:t>
      </w:r>
    </w:p>
    <w:p w:rsidR="00D46562" w:rsidRDefault="00D46562" w:rsidP="00D46562">
      <w:pPr>
        <w:pStyle w:val="ListParagraph"/>
      </w:pPr>
    </w:p>
    <w:p w:rsidR="00D46562" w:rsidRDefault="00D46562" w:rsidP="00433ADD">
      <w:pPr>
        <w:pStyle w:val="ListParagraph"/>
        <w:numPr>
          <w:ilvl w:val="2"/>
          <w:numId w:val="20"/>
        </w:numPr>
        <w:spacing w:after="0" w:line="240" w:lineRule="auto"/>
      </w:pPr>
      <w:r>
        <w:t xml:space="preserve">The grantor may retain the power to remove and replace trustees or trust advisers.  12 </w:t>
      </w:r>
      <w:r w:rsidRPr="00433ADD">
        <w:rPr>
          <w:u w:val="single"/>
        </w:rPr>
        <w:t>Del</w:t>
      </w:r>
      <w:r>
        <w:t xml:space="preserve">. </w:t>
      </w:r>
      <w:r w:rsidRPr="00433ADD">
        <w:rPr>
          <w:u w:val="single"/>
        </w:rPr>
        <w:t>C</w:t>
      </w:r>
      <w:r>
        <w:t>. § 3570(11</w:t>
      </w:r>
      <w:proofErr w:type="gramStart"/>
      <w:r>
        <w:t>)b.7</w:t>
      </w:r>
      <w:proofErr w:type="gramEnd"/>
      <w:r>
        <w:t>.</w:t>
      </w:r>
    </w:p>
    <w:p w:rsidR="00D46562" w:rsidRDefault="00D46562" w:rsidP="00D46562">
      <w:pPr>
        <w:pStyle w:val="ListParagraph"/>
      </w:pPr>
    </w:p>
    <w:p w:rsidR="00C04516" w:rsidRDefault="00D46562" w:rsidP="00C04516">
      <w:pPr>
        <w:pStyle w:val="ListParagraph"/>
        <w:numPr>
          <w:ilvl w:val="2"/>
          <w:numId w:val="20"/>
        </w:numPr>
        <w:spacing w:after="0" w:line="240" w:lineRule="auto"/>
      </w:pPr>
      <w:r>
        <w:t>The grantor may retain a</w:t>
      </w:r>
      <w:r w:rsidR="00C04516">
        <w:t xml:space="preserve"> lifetime or testamentary</w:t>
      </w:r>
      <w:r>
        <w:t xml:space="preserve"> limited power of appointment.  12 </w:t>
      </w:r>
      <w:r w:rsidRPr="00433ADD">
        <w:rPr>
          <w:u w:val="single"/>
        </w:rPr>
        <w:t>Del</w:t>
      </w:r>
      <w:r>
        <w:t xml:space="preserve">. </w:t>
      </w:r>
      <w:r w:rsidRPr="00433ADD">
        <w:rPr>
          <w:u w:val="single"/>
        </w:rPr>
        <w:t>C</w:t>
      </w:r>
      <w:r>
        <w:t>. § 3570(11</w:t>
      </w:r>
      <w:proofErr w:type="gramStart"/>
      <w:r>
        <w:t>)b.2</w:t>
      </w:r>
      <w:proofErr w:type="gramEnd"/>
      <w:r>
        <w:t>.</w:t>
      </w:r>
    </w:p>
    <w:p w:rsidR="00C04516" w:rsidRDefault="00C04516" w:rsidP="00C04516">
      <w:pPr>
        <w:pStyle w:val="ListParagraph"/>
        <w:numPr>
          <w:ilvl w:val="0"/>
          <w:numId w:val="26"/>
        </w:numPr>
        <w:spacing w:after="0" w:line="240" w:lineRule="auto"/>
      </w:pPr>
      <w:r>
        <w:t>In the event the Grantor intends to structure the transfer into the trust as an incomplete gift for federal gift tax purposes it is important</w:t>
      </w:r>
      <w:r w:rsidR="00752DE1">
        <w:t xml:space="preserve"> that the grantor retain both </w:t>
      </w:r>
      <w:r>
        <w:t>lifetime and testamentary limited power</w:t>
      </w:r>
      <w:r w:rsidR="00752DE1">
        <w:t>s</w:t>
      </w:r>
      <w:r>
        <w:t xml:space="preserve"> of appointment in accordance with 12 </w:t>
      </w:r>
      <w:r>
        <w:rPr>
          <w:u w:val="single"/>
        </w:rPr>
        <w:t>Del</w:t>
      </w:r>
      <w:r>
        <w:t xml:space="preserve">. </w:t>
      </w:r>
      <w:r>
        <w:rPr>
          <w:u w:val="single"/>
        </w:rPr>
        <w:t>C</w:t>
      </w:r>
      <w:r>
        <w:t>. § 3570(11)b.2.</w:t>
      </w:r>
    </w:p>
    <w:p w:rsidR="00D46562" w:rsidRDefault="00D46562" w:rsidP="00D46562">
      <w:pPr>
        <w:pStyle w:val="ListParagraph"/>
      </w:pPr>
    </w:p>
    <w:p w:rsidR="00D46562" w:rsidRDefault="00D46562" w:rsidP="00433ADD">
      <w:pPr>
        <w:pStyle w:val="ListParagraph"/>
        <w:numPr>
          <w:ilvl w:val="2"/>
          <w:numId w:val="20"/>
        </w:numPr>
        <w:spacing w:after="0" w:line="240" w:lineRule="auto"/>
      </w:pPr>
      <w:r>
        <w:t xml:space="preserve">The grantor may retain the ability to receive income or principal pursuant to broad discretion or a standard as determined by Delaware trustees, non-Delaware trustees and/or advisers.  12 </w:t>
      </w:r>
      <w:r w:rsidRPr="00433ADD">
        <w:rPr>
          <w:u w:val="single"/>
        </w:rPr>
        <w:t>Del</w:t>
      </w:r>
      <w:r>
        <w:t xml:space="preserve">. </w:t>
      </w:r>
      <w:r w:rsidRPr="00433ADD">
        <w:rPr>
          <w:u w:val="single"/>
        </w:rPr>
        <w:t>C</w:t>
      </w:r>
      <w:r>
        <w:t>. § 3570(11</w:t>
      </w:r>
      <w:proofErr w:type="gramStart"/>
      <w:r>
        <w:t>)b.6</w:t>
      </w:r>
      <w:proofErr w:type="gramEnd"/>
      <w:r>
        <w:t>.</w:t>
      </w:r>
    </w:p>
    <w:p w:rsidR="00D46562" w:rsidRDefault="00D46562" w:rsidP="00D46562">
      <w:pPr>
        <w:pStyle w:val="ListParagraph"/>
      </w:pPr>
    </w:p>
    <w:p w:rsidR="00D46562" w:rsidRDefault="00D46562" w:rsidP="00433ADD">
      <w:pPr>
        <w:pStyle w:val="ListParagraph"/>
        <w:numPr>
          <w:ilvl w:val="2"/>
          <w:numId w:val="20"/>
        </w:numPr>
        <w:spacing w:after="0" w:line="240" w:lineRule="auto"/>
      </w:pPr>
      <w:r>
        <w:lastRenderedPageBreak/>
        <w:t xml:space="preserve">The grantor may retain the right to receive mandatory income distributions.  12 </w:t>
      </w:r>
      <w:r w:rsidRPr="00433ADD">
        <w:rPr>
          <w:u w:val="single"/>
        </w:rPr>
        <w:t>Del</w:t>
      </w:r>
      <w:r>
        <w:t xml:space="preserve">. </w:t>
      </w:r>
      <w:r w:rsidRPr="00433ADD">
        <w:rPr>
          <w:u w:val="single"/>
        </w:rPr>
        <w:t>C</w:t>
      </w:r>
      <w:r>
        <w:t>. § 3570(11</w:t>
      </w:r>
      <w:proofErr w:type="gramStart"/>
      <w:r>
        <w:t>)b.3</w:t>
      </w:r>
      <w:proofErr w:type="gramEnd"/>
      <w:r>
        <w:t>.</w:t>
      </w:r>
    </w:p>
    <w:p w:rsidR="00D46562" w:rsidRDefault="00D46562" w:rsidP="00D46562">
      <w:pPr>
        <w:pStyle w:val="ListParagraph"/>
      </w:pPr>
    </w:p>
    <w:p w:rsidR="00D46562" w:rsidRDefault="00D46562" w:rsidP="00433ADD">
      <w:pPr>
        <w:pStyle w:val="ListParagraph"/>
        <w:numPr>
          <w:ilvl w:val="2"/>
          <w:numId w:val="20"/>
        </w:numPr>
        <w:spacing w:after="0" w:line="240" w:lineRule="auto"/>
      </w:pPr>
      <w:r>
        <w:t xml:space="preserve">The grantor may retain an interest in a CRT or a QPRT.  12 </w:t>
      </w:r>
      <w:r w:rsidRPr="00433ADD">
        <w:rPr>
          <w:u w:val="single"/>
        </w:rPr>
        <w:t>Del</w:t>
      </w:r>
      <w:r>
        <w:t xml:space="preserve">. </w:t>
      </w:r>
      <w:r w:rsidRPr="00433ADD">
        <w:rPr>
          <w:u w:val="single"/>
        </w:rPr>
        <w:t>C</w:t>
      </w:r>
      <w:r>
        <w:t>. § 3570(11</w:t>
      </w:r>
      <w:proofErr w:type="gramStart"/>
      <w:r>
        <w:t>)b.4</w:t>
      </w:r>
      <w:proofErr w:type="gramEnd"/>
      <w:r>
        <w:t>.</w:t>
      </w:r>
    </w:p>
    <w:p w:rsidR="00D46562" w:rsidRDefault="00D46562" w:rsidP="00D46562">
      <w:pPr>
        <w:pStyle w:val="ListParagraph"/>
      </w:pPr>
    </w:p>
    <w:p w:rsidR="00D46562" w:rsidRDefault="00D46562" w:rsidP="00433ADD">
      <w:pPr>
        <w:pStyle w:val="ListParagraph"/>
        <w:numPr>
          <w:ilvl w:val="2"/>
          <w:numId w:val="20"/>
        </w:numPr>
        <w:spacing w:after="0" w:line="240" w:lineRule="auto"/>
      </w:pPr>
      <w:r>
        <w:t xml:space="preserve">The grantor may receive up to a 5% interest in GRAT, GRUT or total-return </w:t>
      </w:r>
      <w:proofErr w:type="spellStart"/>
      <w:r>
        <w:t>uni</w:t>
      </w:r>
      <w:proofErr w:type="spellEnd"/>
      <w:r>
        <w:t xml:space="preserve">-trust.  12 </w:t>
      </w:r>
      <w:r w:rsidRPr="00433ADD">
        <w:rPr>
          <w:u w:val="single"/>
        </w:rPr>
        <w:t>Del</w:t>
      </w:r>
      <w:r>
        <w:t xml:space="preserve">. </w:t>
      </w:r>
      <w:r w:rsidRPr="00433ADD">
        <w:rPr>
          <w:u w:val="single"/>
        </w:rPr>
        <w:t>C</w:t>
      </w:r>
      <w:r>
        <w:t>. § 3570(11</w:t>
      </w:r>
      <w:proofErr w:type="gramStart"/>
      <w:r>
        <w:t>)b.5</w:t>
      </w:r>
      <w:proofErr w:type="gramEnd"/>
      <w:r>
        <w:t>.</w:t>
      </w:r>
    </w:p>
    <w:p w:rsidR="00D46562" w:rsidRDefault="00D46562" w:rsidP="00D46562">
      <w:pPr>
        <w:pStyle w:val="ListParagraph"/>
      </w:pPr>
    </w:p>
    <w:p w:rsidR="00D46562" w:rsidRDefault="00D46562" w:rsidP="00433ADD">
      <w:pPr>
        <w:pStyle w:val="ListParagraph"/>
        <w:numPr>
          <w:ilvl w:val="2"/>
          <w:numId w:val="20"/>
        </w:numPr>
        <w:spacing w:after="0" w:line="240" w:lineRule="auto"/>
      </w:pPr>
      <w:r>
        <w:t xml:space="preserve">The grantor may retain the potential or actual use of real property held under a qualified personal residence trust or the possession and enjoyment of a qualified annuity interest within the meaning of Treasury Regulations § 25.2702-5(c)(8).  12 </w:t>
      </w:r>
      <w:r w:rsidRPr="00433ADD">
        <w:rPr>
          <w:u w:val="single"/>
        </w:rPr>
        <w:t>Del</w:t>
      </w:r>
      <w:r>
        <w:t xml:space="preserve">. </w:t>
      </w:r>
      <w:r w:rsidRPr="00433ADD">
        <w:rPr>
          <w:u w:val="single"/>
        </w:rPr>
        <w:t>C</w:t>
      </w:r>
      <w:r>
        <w:t>. § 3570(11</w:t>
      </w:r>
      <w:proofErr w:type="gramStart"/>
      <w:r>
        <w:t>)b.5</w:t>
      </w:r>
      <w:proofErr w:type="gramEnd"/>
      <w:r>
        <w:t>.</w:t>
      </w:r>
    </w:p>
    <w:p w:rsidR="00D46562" w:rsidRDefault="00D46562" w:rsidP="00D46562">
      <w:pPr>
        <w:pStyle w:val="ListParagraph"/>
      </w:pPr>
    </w:p>
    <w:p w:rsidR="00D46562" w:rsidRDefault="00D46562" w:rsidP="00433ADD">
      <w:pPr>
        <w:pStyle w:val="ListParagraph"/>
        <w:numPr>
          <w:ilvl w:val="2"/>
          <w:numId w:val="20"/>
        </w:numPr>
        <w:spacing w:after="0" w:line="240" w:lineRule="auto"/>
      </w:pPr>
      <w:r>
        <w:t xml:space="preserve">The grantor may retain the right to receive income or principal from the trust to pay income taxes due on the income of the trust provided that the trust instrument expressly provides for the payment of such taxes and the potential or actual receipt of income or principal would be at the trustee’s discretion, or pursuant to a mandatory direction in the trust instrument, or the discretion of an adviser.  12 </w:t>
      </w:r>
      <w:r w:rsidRPr="00433ADD">
        <w:rPr>
          <w:u w:val="single"/>
        </w:rPr>
        <w:t>Del</w:t>
      </w:r>
      <w:r>
        <w:t xml:space="preserve">. </w:t>
      </w:r>
      <w:r w:rsidRPr="00433ADD">
        <w:rPr>
          <w:u w:val="single"/>
        </w:rPr>
        <w:t>C</w:t>
      </w:r>
      <w:r>
        <w:t>. § 3570(11</w:t>
      </w:r>
      <w:proofErr w:type="gramStart"/>
      <w:r>
        <w:t>)b.9</w:t>
      </w:r>
      <w:proofErr w:type="gramEnd"/>
      <w:r>
        <w:t>.</w:t>
      </w:r>
    </w:p>
    <w:p w:rsidR="00D77EE4" w:rsidRDefault="00D77EE4" w:rsidP="00D77EE4">
      <w:pPr>
        <w:pStyle w:val="ListParagraph"/>
      </w:pPr>
    </w:p>
    <w:p w:rsidR="00D77EE4" w:rsidRDefault="00D77EE4" w:rsidP="00433ADD">
      <w:pPr>
        <w:pStyle w:val="ListParagraph"/>
        <w:numPr>
          <w:ilvl w:val="2"/>
          <w:numId w:val="20"/>
        </w:numPr>
        <w:spacing w:after="0" w:line="240" w:lineRule="auto"/>
      </w:pPr>
      <w:r>
        <w:t xml:space="preserve">The grantor may retain the right to receive income or principal from the trust to pay, after the death of the grantor, all or any part of the debts of the grantor outstanding at the time of the grantor’s death, the expenses of administering the grantor’s estate, or any estate or inheritance tax imposed on or with respect to the grantor’s estate.  12 </w:t>
      </w:r>
      <w:r w:rsidRPr="00433ADD">
        <w:rPr>
          <w:u w:val="single"/>
        </w:rPr>
        <w:t>Del</w:t>
      </w:r>
      <w:r>
        <w:t xml:space="preserve">. </w:t>
      </w:r>
      <w:r w:rsidRPr="00433ADD">
        <w:rPr>
          <w:u w:val="single"/>
        </w:rPr>
        <w:t>C</w:t>
      </w:r>
      <w:r>
        <w:t>. § 3570(11</w:t>
      </w:r>
      <w:proofErr w:type="gramStart"/>
      <w:r>
        <w:t>)b.10</w:t>
      </w:r>
      <w:proofErr w:type="gramEnd"/>
      <w:r>
        <w:t>.</w:t>
      </w:r>
    </w:p>
    <w:p w:rsidR="00D77EE4" w:rsidRDefault="00D77EE4" w:rsidP="00D77EE4">
      <w:pPr>
        <w:pStyle w:val="ListParagraph"/>
      </w:pPr>
    </w:p>
    <w:p w:rsidR="00050361" w:rsidRPr="00050361" w:rsidRDefault="00050361" w:rsidP="00050361">
      <w:pPr>
        <w:pStyle w:val="ListParagraph"/>
        <w:numPr>
          <w:ilvl w:val="1"/>
          <w:numId w:val="18"/>
        </w:numPr>
        <w:spacing w:after="0" w:line="240" w:lineRule="auto"/>
      </w:pPr>
      <w:r>
        <w:rPr>
          <w:b/>
        </w:rPr>
        <w:t>Who May D</w:t>
      </w:r>
      <w:r w:rsidR="001954BD">
        <w:rPr>
          <w:b/>
        </w:rPr>
        <w:t>efeat a</w:t>
      </w:r>
      <w:r w:rsidR="0085515D">
        <w:rPr>
          <w:b/>
        </w:rPr>
        <w:t>n Asset Protection Trust?</w:t>
      </w:r>
    </w:p>
    <w:p w:rsidR="00D77EE4" w:rsidRDefault="00050361" w:rsidP="00050361">
      <w:pPr>
        <w:pStyle w:val="ListParagraph"/>
        <w:spacing w:after="0" w:line="240" w:lineRule="auto"/>
      </w:pPr>
      <w:r>
        <w:t xml:space="preserve"> </w:t>
      </w:r>
    </w:p>
    <w:p w:rsidR="00D77EE4" w:rsidRDefault="00D77EE4" w:rsidP="00D77EE4">
      <w:pPr>
        <w:spacing w:after="0" w:line="240" w:lineRule="auto"/>
        <w:ind w:left="360" w:firstLine="360"/>
      </w:pPr>
      <w:r>
        <w:t xml:space="preserve">There are four categories of creditors who may defeat a Delaware asset protection trust and as such reach the trust assets to satisfy a judgment.  The Act requires that any action involving a Delaware asset protection trust be brought in the Delaware Court of Chancery.  </w:t>
      </w:r>
      <w:proofErr w:type="gramStart"/>
      <w:r>
        <w:t xml:space="preserve">12 </w:t>
      </w:r>
      <w:r>
        <w:rPr>
          <w:u w:val="single"/>
        </w:rPr>
        <w:t>Del</w:t>
      </w:r>
      <w:r>
        <w:t xml:space="preserve">. </w:t>
      </w:r>
      <w:r>
        <w:rPr>
          <w:u w:val="single"/>
        </w:rPr>
        <w:t>C</w:t>
      </w:r>
      <w:r>
        <w:t>. § 3572(a).</w:t>
      </w:r>
      <w:proofErr w:type="gramEnd"/>
      <w:r>
        <w:t xml:space="preserve">  The following four categories of creditors may defeat a Delaware asset protection trust:</w:t>
      </w:r>
    </w:p>
    <w:p w:rsidR="00D77EE4" w:rsidRDefault="00D77EE4" w:rsidP="00D77EE4">
      <w:pPr>
        <w:spacing w:after="0" w:line="240" w:lineRule="auto"/>
        <w:ind w:left="360" w:firstLine="360"/>
      </w:pPr>
    </w:p>
    <w:p w:rsidR="00D77EE4" w:rsidRDefault="00D77EE4" w:rsidP="00050361">
      <w:pPr>
        <w:pStyle w:val="ListParagraph"/>
        <w:numPr>
          <w:ilvl w:val="2"/>
          <w:numId w:val="18"/>
        </w:numPr>
        <w:spacing w:after="0" w:line="240" w:lineRule="auto"/>
      </w:pPr>
      <w:r>
        <w:t xml:space="preserve">A creditor whose claim arose before the creation of the trust provided the claim is brought within four years after the creation of the trust or, if later, within one year after the creditor discovered (or should have discovered) the trust and the claim is proven, by clear and convincing evidence, that the creation of the trust was a fraudulent transfer.  12 </w:t>
      </w:r>
      <w:r w:rsidRPr="00050361">
        <w:rPr>
          <w:u w:val="single"/>
        </w:rPr>
        <w:t>Del</w:t>
      </w:r>
      <w:r>
        <w:t xml:space="preserve">. </w:t>
      </w:r>
      <w:r w:rsidRPr="00050361">
        <w:rPr>
          <w:u w:val="single"/>
        </w:rPr>
        <w:t>C</w:t>
      </w:r>
      <w:r>
        <w:t>. § 3572(b</w:t>
      </w:r>
      <w:proofErr w:type="gramStart"/>
      <w:r>
        <w:t>)(</w:t>
      </w:r>
      <w:proofErr w:type="gramEnd"/>
      <w:r>
        <w:t>1).</w:t>
      </w:r>
    </w:p>
    <w:p w:rsidR="00D77EE4" w:rsidRDefault="00D77EE4" w:rsidP="00D77EE4">
      <w:pPr>
        <w:spacing w:after="0" w:line="240" w:lineRule="auto"/>
      </w:pPr>
    </w:p>
    <w:p w:rsidR="00D77EE4" w:rsidRDefault="00D77EE4" w:rsidP="00050361">
      <w:pPr>
        <w:pStyle w:val="ListParagraph"/>
        <w:numPr>
          <w:ilvl w:val="2"/>
          <w:numId w:val="18"/>
        </w:numPr>
        <w:spacing w:after="0" w:line="240" w:lineRule="auto"/>
      </w:pPr>
      <w:r>
        <w:t xml:space="preserve">A creditor whose claim arose after the creation of the trust provided the claim is brought within four years after the creation of the trust and the creditor proves, by clear and convincing evidence, that the creation of the trust was a fraudulent transfer.  12 </w:t>
      </w:r>
      <w:r w:rsidRPr="00050361">
        <w:rPr>
          <w:u w:val="single"/>
        </w:rPr>
        <w:t>Del</w:t>
      </w:r>
      <w:r>
        <w:t xml:space="preserve">. </w:t>
      </w:r>
      <w:r w:rsidRPr="00050361">
        <w:rPr>
          <w:u w:val="single"/>
        </w:rPr>
        <w:t>C</w:t>
      </w:r>
      <w:r>
        <w:t>. § 3572(b</w:t>
      </w:r>
      <w:proofErr w:type="gramStart"/>
      <w:r>
        <w:t>)(</w:t>
      </w:r>
      <w:proofErr w:type="gramEnd"/>
      <w:r>
        <w:t>2).</w:t>
      </w:r>
    </w:p>
    <w:p w:rsidR="00D77EE4" w:rsidRDefault="00D77EE4" w:rsidP="00D77EE4">
      <w:pPr>
        <w:pStyle w:val="ListParagraph"/>
      </w:pPr>
    </w:p>
    <w:p w:rsidR="00D77EE4" w:rsidRDefault="00D77EE4" w:rsidP="00050361">
      <w:pPr>
        <w:pStyle w:val="ListParagraph"/>
        <w:numPr>
          <w:ilvl w:val="2"/>
          <w:numId w:val="18"/>
        </w:numPr>
        <w:spacing w:after="0" w:line="240" w:lineRule="auto"/>
      </w:pPr>
      <w:r>
        <w:lastRenderedPageBreak/>
        <w:t xml:space="preserve">A person whose claim results on account of an agreement or court order for the payment of support or alimony for the grantor’s spouse, former spouse or children, or for a division or distribution of property in favor of the grantor’s spouse or former spouse.  12 </w:t>
      </w:r>
      <w:r w:rsidRPr="00050361">
        <w:rPr>
          <w:u w:val="single"/>
        </w:rPr>
        <w:t>Del</w:t>
      </w:r>
      <w:r>
        <w:t xml:space="preserve">. </w:t>
      </w:r>
      <w:r w:rsidRPr="00050361">
        <w:rPr>
          <w:u w:val="single"/>
        </w:rPr>
        <w:t>C</w:t>
      </w:r>
      <w:r>
        <w:t xml:space="preserve">. § 3573(1).  Only a spouse who is married to the grantor before the </w:t>
      </w:r>
      <w:r w:rsidR="005D03D8">
        <w:t>funding of the trust</w:t>
      </w:r>
      <w:r>
        <w:t xml:space="preserve"> may avail himself or herself of such right.  12 </w:t>
      </w:r>
      <w:r w:rsidRPr="00050361">
        <w:rPr>
          <w:u w:val="single"/>
        </w:rPr>
        <w:t>Del</w:t>
      </w:r>
      <w:r>
        <w:t xml:space="preserve">. </w:t>
      </w:r>
      <w:r w:rsidRPr="00050361">
        <w:rPr>
          <w:u w:val="single"/>
        </w:rPr>
        <w:t>C</w:t>
      </w:r>
      <w:r>
        <w:t>. § 3570(9).</w:t>
      </w:r>
    </w:p>
    <w:p w:rsidR="00DE03AE" w:rsidRDefault="00DE03AE" w:rsidP="00DE03AE">
      <w:pPr>
        <w:pStyle w:val="ListParagraph"/>
      </w:pPr>
    </w:p>
    <w:p w:rsidR="00DE03AE" w:rsidRDefault="00DE03AE" w:rsidP="00DE03AE">
      <w:pPr>
        <w:pStyle w:val="ListParagraph"/>
        <w:numPr>
          <w:ilvl w:val="2"/>
          <w:numId w:val="18"/>
        </w:numPr>
        <w:spacing w:after="0" w:line="240" w:lineRule="auto"/>
      </w:pPr>
      <w:r>
        <w:t xml:space="preserve">A person who suffers death, personal injury or property damage on or before the date the trust was created for which the grantor is liable.  12 </w:t>
      </w:r>
      <w:r>
        <w:rPr>
          <w:u w:val="single"/>
        </w:rPr>
        <w:t>Del</w:t>
      </w:r>
      <w:r>
        <w:t xml:space="preserve">. </w:t>
      </w:r>
      <w:r>
        <w:rPr>
          <w:u w:val="single"/>
        </w:rPr>
        <w:t>C</w:t>
      </w:r>
      <w:r>
        <w:t>. § 3573(2).</w:t>
      </w:r>
    </w:p>
    <w:p w:rsidR="00744298" w:rsidRDefault="00744298" w:rsidP="00744298">
      <w:pPr>
        <w:pStyle w:val="ListParagraph"/>
      </w:pPr>
    </w:p>
    <w:p w:rsidR="00050361" w:rsidRPr="00050361" w:rsidRDefault="00744298" w:rsidP="00050361">
      <w:pPr>
        <w:pStyle w:val="ListParagraph"/>
        <w:numPr>
          <w:ilvl w:val="0"/>
          <w:numId w:val="18"/>
        </w:numPr>
        <w:spacing w:after="0" w:line="240" w:lineRule="auto"/>
      </w:pPr>
      <w:r w:rsidRPr="00050361">
        <w:rPr>
          <w:b/>
        </w:rPr>
        <w:t>Complete</w:t>
      </w:r>
      <w:r w:rsidR="00DE03AE">
        <w:rPr>
          <w:b/>
        </w:rPr>
        <w:t>d</w:t>
      </w:r>
      <w:r w:rsidRPr="00050361">
        <w:rPr>
          <w:b/>
        </w:rPr>
        <w:t xml:space="preserve"> Gift Asset Protection Trusts.</w:t>
      </w:r>
    </w:p>
    <w:p w:rsidR="00050361" w:rsidRDefault="00050361" w:rsidP="00050361">
      <w:pPr>
        <w:pStyle w:val="ListParagraph"/>
        <w:spacing w:after="0" w:line="240" w:lineRule="auto"/>
        <w:ind w:left="360"/>
      </w:pPr>
    </w:p>
    <w:p w:rsidR="00441190" w:rsidRDefault="00441190" w:rsidP="00050361">
      <w:pPr>
        <w:pStyle w:val="ListParagraph"/>
        <w:spacing w:after="0" w:line="240" w:lineRule="auto"/>
        <w:ind w:left="0" w:firstLine="720"/>
      </w:pPr>
      <w:r>
        <w:t>On January 1, 2013, President Obama signed the American Taxpayer Relief Act of 2012 (the “2012 Act”).  The 2012 Act made permanent the current exemptions for federal estate tax, gift tax and generation-skipping transfer (GST) tax.  The exemptions are indexed for inflation, which for 201</w:t>
      </w:r>
      <w:r w:rsidR="005D03D8">
        <w:t>4</w:t>
      </w:r>
      <w:r>
        <w:t xml:space="preserve"> means that the exemptions </w:t>
      </w:r>
      <w:r w:rsidR="00364A72">
        <w:t>are</w:t>
      </w:r>
      <w:r>
        <w:t xml:space="preserve"> $5,</w:t>
      </w:r>
      <w:r w:rsidR="005D03D8">
        <w:t>34</w:t>
      </w:r>
      <w:r>
        <w:t xml:space="preserve">0,000 per </w:t>
      </w:r>
      <w:r w:rsidR="00364A72">
        <w:t>person.  The tax rate on estate, gift</w:t>
      </w:r>
      <w:r>
        <w:t xml:space="preserve"> and GST transfers above the exemption was increased to forty percent (40%) from the thirty-five percent (35%) rate in effect in 2012.</w:t>
      </w:r>
    </w:p>
    <w:p w:rsidR="00441190" w:rsidRDefault="00441190" w:rsidP="00441190">
      <w:pPr>
        <w:spacing w:after="0" w:line="240" w:lineRule="auto"/>
        <w:ind w:firstLine="720"/>
      </w:pPr>
    </w:p>
    <w:p w:rsidR="00441190" w:rsidRDefault="00441190" w:rsidP="00441190">
      <w:pPr>
        <w:spacing w:after="0" w:line="240" w:lineRule="auto"/>
        <w:ind w:firstLine="720"/>
      </w:pPr>
      <w:r>
        <w:t>As a result of the 2012 Act, clients are presented with an estate planning opportunity to transfer significant amounts of wealth out of their estate without the imposition of transfer taxes.  However, even the wealthiest clients are often concerned with giving such large amounts of money away based on the fear that they may need to access the assets in the future.</w:t>
      </w:r>
    </w:p>
    <w:p w:rsidR="00441190" w:rsidRDefault="00441190" w:rsidP="00441190">
      <w:pPr>
        <w:spacing w:after="0" w:line="240" w:lineRule="auto"/>
        <w:ind w:firstLine="720"/>
      </w:pPr>
    </w:p>
    <w:p w:rsidR="00DE03AE" w:rsidRDefault="00DE03AE" w:rsidP="0085515D">
      <w:pPr>
        <w:pStyle w:val="ListParagraph"/>
        <w:spacing w:after="0" w:line="240" w:lineRule="auto"/>
        <w:ind w:left="0" w:firstLine="720"/>
      </w:pPr>
      <w:r>
        <w:t>One o</w:t>
      </w:r>
      <w:r w:rsidR="00050361">
        <w:t>ption that clients</w:t>
      </w:r>
      <w:r>
        <w:t xml:space="preserve"> may</w:t>
      </w:r>
      <w:r w:rsidR="00050361">
        <w:t xml:space="preserve"> have is to create a trust in a jurisdiction</w:t>
      </w:r>
      <w:r>
        <w:t xml:space="preserve"> such as Delaware</w:t>
      </w:r>
      <w:r w:rsidR="00050361">
        <w:t xml:space="preserve"> which allows for self-settled asset protection trusts.  A client can make a transfer to a trust established in such a jurisdiction</w:t>
      </w:r>
      <w:r w:rsidR="000C7C99">
        <w:t>, to which the client allocates</w:t>
      </w:r>
      <w:r w:rsidR="00EA5CCE">
        <w:t xml:space="preserve"> gift tax exemption, that</w:t>
      </w:r>
      <w:r w:rsidR="00050361">
        <w:t xml:space="preserve"> provides that the trustee may distribute income and principal from the trust </w:t>
      </w:r>
      <w:r w:rsidR="00EA5CCE">
        <w:t xml:space="preserve">to a class of </w:t>
      </w:r>
      <w:proofErr w:type="gramStart"/>
      <w:r w:rsidR="00EA5CCE">
        <w:t>beneficiaries, that</w:t>
      </w:r>
      <w:proofErr w:type="gramEnd"/>
      <w:r>
        <w:t xml:space="preserve"> includes the </w:t>
      </w:r>
      <w:r w:rsidR="00EA5CCE">
        <w:t>client,</w:t>
      </w:r>
      <w:r>
        <w:t xml:space="preserve"> </w:t>
      </w:r>
      <w:r w:rsidR="00050361">
        <w:t xml:space="preserve">in the sole and absolute discretion of the trustee.  </w:t>
      </w:r>
      <w:r w:rsidR="00EA5CCE">
        <w:t>The client</w:t>
      </w:r>
      <w:r>
        <w:t xml:space="preserve"> can also allocate GST exemption to the trust which would allow the trust to continue in perpetuity if established in a jurisdiction such as Delaware which has abolished the rule against perpetuities.</w:t>
      </w:r>
      <w:r w:rsidR="0004546F">
        <w:t xml:space="preserve">  See 25 </w:t>
      </w:r>
      <w:r w:rsidR="0004546F">
        <w:rPr>
          <w:u w:val="single"/>
        </w:rPr>
        <w:t>Del</w:t>
      </w:r>
      <w:r w:rsidR="0004546F">
        <w:t xml:space="preserve">. </w:t>
      </w:r>
      <w:r w:rsidR="0004546F">
        <w:rPr>
          <w:u w:val="single"/>
        </w:rPr>
        <w:t>C</w:t>
      </w:r>
      <w:r w:rsidR="0004546F">
        <w:t>. § 503.</w:t>
      </w:r>
      <w:r w:rsidR="00050361">
        <w:t xml:space="preserve">  What follows is a summary of the relevant issues to consider when creating a complete</w:t>
      </w:r>
      <w:r>
        <w:t>d</w:t>
      </w:r>
      <w:r w:rsidR="00050361">
        <w:t xml:space="preserve"> gift asset protection trust.</w:t>
      </w:r>
      <w:r>
        <w:t xml:space="preserve">  </w:t>
      </w:r>
    </w:p>
    <w:p w:rsidR="00050361" w:rsidRPr="00050361" w:rsidRDefault="00050361" w:rsidP="00050361">
      <w:pPr>
        <w:pStyle w:val="ListParagraph"/>
        <w:spacing w:after="0" w:line="240" w:lineRule="auto"/>
        <w:ind w:left="360"/>
      </w:pPr>
    </w:p>
    <w:p w:rsidR="004D02FD" w:rsidRPr="0004546F" w:rsidRDefault="00DE03AE" w:rsidP="00050361">
      <w:pPr>
        <w:pStyle w:val="ListParagraph"/>
        <w:numPr>
          <w:ilvl w:val="1"/>
          <w:numId w:val="18"/>
        </w:numPr>
        <w:spacing w:after="0" w:line="240" w:lineRule="auto"/>
      </w:pPr>
      <w:r>
        <w:rPr>
          <w:b/>
        </w:rPr>
        <w:t>Grantor’s Retention of Control.</w:t>
      </w:r>
    </w:p>
    <w:p w:rsidR="0004546F" w:rsidRPr="0004546F" w:rsidRDefault="0004546F" w:rsidP="0004546F">
      <w:pPr>
        <w:pStyle w:val="ListParagraph"/>
        <w:spacing w:after="0" w:line="240" w:lineRule="auto"/>
      </w:pPr>
    </w:p>
    <w:p w:rsidR="0004546F" w:rsidRDefault="0004546F" w:rsidP="0004546F">
      <w:pPr>
        <w:pStyle w:val="ListParagraph"/>
        <w:spacing w:after="0" w:line="240" w:lineRule="auto"/>
        <w:ind w:left="0" w:firstLine="720"/>
      </w:pPr>
      <w:r>
        <w:t xml:space="preserve">The first issue to address is whether the transfer of assets </w:t>
      </w:r>
      <w:r w:rsidR="00EA5CCE">
        <w:t xml:space="preserve">to the trust </w:t>
      </w:r>
      <w:r>
        <w:t>constitutes a completed gift for federal gift tax purposes.</w:t>
      </w:r>
    </w:p>
    <w:p w:rsidR="00DE03AE" w:rsidRDefault="00DE03AE" w:rsidP="00DE03AE">
      <w:pPr>
        <w:spacing w:after="0" w:line="240" w:lineRule="auto"/>
      </w:pPr>
    </w:p>
    <w:p w:rsidR="00DE03AE" w:rsidRPr="00DE03AE" w:rsidRDefault="00DE03AE" w:rsidP="00DE03AE">
      <w:pPr>
        <w:pStyle w:val="ListParagraph"/>
        <w:numPr>
          <w:ilvl w:val="2"/>
          <w:numId w:val="18"/>
        </w:numPr>
        <w:spacing w:after="0" w:line="240" w:lineRule="auto"/>
      </w:pPr>
      <w:r>
        <w:rPr>
          <w:b/>
        </w:rPr>
        <w:t>Is the Transfer to the Trust a Completed Gift?</w:t>
      </w:r>
    </w:p>
    <w:p w:rsidR="00DE03AE" w:rsidRDefault="00DE03AE" w:rsidP="00DE03AE">
      <w:pPr>
        <w:spacing w:after="0" w:line="240" w:lineRule="auto"/>
      </w:pPr>
    </w:p>
    <w:p w:rsidR="00DE03AE" w:rsidRDefault="00DE03AE" w:rsidP="00DE03AE">
      <w:pPr>
        <w:pStyle w:val="ListParagraph"/>
        <w:numPr>
          <w:ilvl w:val="4"/>
          <w:numId w:val="18"/>
        </w:numPr>
        <w:spacing w:after="0" w:line="240" w:lineRule="auto"/>
      </w:pPr>
      <w:r>
        <w:t>A transfer is incomplete for federal gift tax purposes if the grantor retains sufficient dominion and control over the property.  Treas. Reg. § 25.2511-2(b).</w:t>
      </w:r>
    </w:p>
    <w:p w:rsidR="00DE03AE" w:rsidRDefault="00DE03AE" w:rsidP="00DE03AE">
      <w:pPr>
        <w:pStyle w:val="ListParagraph"/>
        <w:spacing w:after="0" w:line="240" w:lineRule="auto"/>
        <w:ind w:left="1800"/>
      </w:pPr>
    </w:p>
    <w:p w:rsidR="00DE03AE" w:rsidRDefault="00DE03AE" w:rsidP="00DE03AE">
      <w:pPr>
        <w:pStyle w:val="ListParagraph"/>
        <w:numPr>
          <w:ilvl w:val="4"/>
          <w:numId w:val="18"/>
        </w:numPr>
        <w:spacing w:after="0" w:line="240" w:lineRule="auto"/>
      </w:pPr>
      <w:r>
        <w:t xml:space="preserve">If an individual creates a self-settled trust in a jurisdiction where his or her creditors may attach the assets, the grantor has retained sufficient dominion </w:t>
      </w:r>
      <w:r>
        <w:lastRenderedPageBreak/>
        <w:t>and control over the assets because under local law the grantor is able to relegate his or her creditors to the assets of the trust.  See Rev. Rul. 76-103</w:t>
      </w:r>
      <w:r w:rsidR="0004546F">
        <w:t>; Rev. Rul. 77-378</w:t>
      </w:r>
      <w:r w:rsidR="00ED1A38">
        <w:t xml:space="preserve">; </w:t>
      </w:r>
      <w:r w:rsidR="00EA5CCE">
        <w:t xml:space="preserve">and </w:t>
      </w:r>
      <w:proofErr w:type="spellStart"/>
      <w:r w:rsidR="00ED1A38">
        <w:t>Paolozzi</w:t>
      </w:r>
      <w:proofErr w:type="spellEnd"/>
      <w:r w:rsidR="00ED1A38">
        <w:t xml:space="preserve"> v. Commissioner, 23, T.C. 102 (1954)</w:t>
      </w:r>
      <w:r w:rsidR="0004546F">
        <w:t>.  As such, the trust must be established in a jurisdiction that allows for self-settled asset protection trusts thereby preventing the grantor from being able to relegate his or her creditors to the assets of the trust.</w:t>
      </w:r>
    </w:p>
    <w:p w:rsidR="0004546F" w:rsidRDefault="0004546F" w:rsidP="0004546F">
      <w:pPr>
        <w:pStyle w:val="ListParagraph"/>
      </w:pPr>
    </w:p>
    <w:p w:rsidR="0004546F" w:rsidRDefault="0004546F" w:rsidP="00DE03AE">
      <w:pPr>
        <w:pStyle w:val="ListParagraph"/>
        <w:numPr>
          <w:ilvl w:val="4"/>
          <w:numId w:val="18"/>
        </w:numPr>
        <w:spacing w:after="0" w:line="240" w:lineRule="auto"/>
      </w:pPr>
      <w:r>
        <w:t>Revenue Ruling 76-103.</w:t>
      </w:r>
    </w:p>
    <w:p w:rsidR="0004546F" w:rsidRDefault="0004546F" w:rsidP="0004546F">
      <w:pPr>
        <w:pStyle w:val="ListParagraph"/>
      </w:pPr>
    </w:p>
    <w:p w:rsidR="0004546F" w:rsidRDefault="00EA5CCE" w:rsidP="00EA5CCE">
      <w:pPr>
        <w:pStyle w:val="ListParagraph"/>
        <w:numPr>
          <w:ilvl w:val="5"/>
          <w:numId w:val="18"/>
        </w:numPr>
        <w:spacing w:after="0" w:line="240" w:lineRule="auto"/>
        <w:ind w:left="2250" w:hanging="450"/>
      </w:pPr>
      <w:r>
        <w:t xml:space="preserve">In </w:t>
      </w:r>
      <w:r w:rsidR="0004546F">
        <w:t>Revenue Ruling 76-103</w:t>
      </w:r>
      <w:r>
        <w:t>,</w:t>
      </w:r>
      <w:r w:rsidR="0004546F">
        <w:t xml:space="preserve"> </w:t>
      </w:r>
      <w:r>
        <w:t xml:space="preserve">the </w:t>
      </w:r>
      <w:proofErr w:type="gramStart"/>
      <w:r w:rsidR="0004546F">
        <w:t>grantor created an irrevocable trust</w:t>
      </w:r>
      <w:proofErr w:type="gramEnd"/>
      <w:r w:rsidR="0004546F">
        <w:t xml:space="preserve"> which provided that during the grantor’s lifetime the trustee could distribute income and principal of the trust in its sole and absolute discretion to the grantor.  The trust further provided that upon the death of the grantor, the remaining principal of the trust was to be distributed to the grantor’s issue.  </w:t>
      </w:r>
      <w:r>
        <w:t>The trust was determined to be a discretionary trust under the laws of the state in which the trust was created and the entire property of the trust was subject to the claims of the grantor’s creditors.</w:t>
      </w:r>
    </w:p>
    <w:p w:rsidR="0004546F" w:rsidRDefault="0004546F" w:rsidP="0004546F">
      <w:pPr>
        <w:pStyle w:val="ListParagraph"/>
        <w:spacing w:after="0" w:line="240" w:lineRule="auto"/>
        <w:ind w:left="2160"/>
      </w:pPr>
    </w:p>
    <w:p w:rsidR="0004546F" w:rsidRDefault="0004546F" w:rsidP="00EA5CCE">
      <w:pPr>
        <w:pStyle w:val="ListParagraph"/>
        <w:numPr>
          <w:ilvl w:val="5"/>
          <w:numId w:val="18"/>
        </w:numPr>
        <w:spacing w:after="0" w:line="240" w:lineRule="auto"/>
        <w:ind w:left="2250" w:hanging="450"/>
      </w:pPr>
      <w:r>
        <w:t>Revenue Ruling</w:t>
      </w:r>
      <w:r w:rsidR="00EA5CCE">
        <w:t xml:space="preserve"> 76-103</w:t>
      </w:r>
      <w:r>
        <w:t xml:space="preserve"> concluded that as long as the trustee continues to administer the trust under the laws of the state subjecting the trust assets to the claims of creditors, the grantor retained dominion and control over the trust property.  As such the grantor’s transfer of the property to the trust does not constitute a completed gift for federal gift tax purposes.</w:t>
      </w:r>
    </w:p>
    <w:p w:rsidR="00EA5CCE" w:rsidRDefault="00EA5CCE" w:rsidP="00EA5CCE">
      <w:pPr>
        <w:pStyle w:val="ListParagraph"/>
      </w:pPr>
    </w:p>
    <w:p w:rsidR="00EA5CCE" w:rsidRDefault="00EA5CCE" w:rsidP="00EA5CCE">
      <w:pPr>
        <w:pStyle w:val="ListParagraph"/>
        <w:numPr>
          <w:ilvl w:val="5"/>
          <w:numId w:val="18"/>
        </w:numPr>
        <w:spacing w:after="0" w:line="240" w:lineRule="auto"/>
        <w:ind w:left="2250" w:hanging="450"/>
      </w:pPr>
      <w:r>
        <w:t>Revenue Ruling 76-103 also concluded that if the grantor were to die before the gift becoming complete, the date of dea</w:t>
      </w:r>
      <w:r w:rsidR="000C7C99">
        <w:t>th value of the trust property w</w:t>
      </w:r>
      <w:r>
        <w:t>ould be includible in the grantor’s gross estate for federal estate tax purposes under Section 2038 because of the grantor’s retained power to, in effect, terminate the trust by relegating the grantor’s creditors to the entire property of the trust.</w:t>
      </w:r>
    </w:p>
    <w:p w:rsidR="00ED1A38" w:rsidRDefault="00ED1A38" w:rsidP="00ED1A38">
      <w:pPr>
        <w:pStyle w:val="ListParagraph"/>
      </w:pPr>
    </w:p>
    <w:p w:rsidR="00ED1A38" w:rsidRDefault="00ED1A38" w:rsidP="00ED1A38">
      <w:pPr>
        <w:pStyle w:val="ListParagraph"/>
        <w:numPr>
          <w:ilvl w:val="4"/>
          <w:numId w:val="18"/>
        </w:numPr>
        <w:spacing w:after="0" w:line="240" w:lineRule="auto"/>
      </w:pPr>
      <w:r>
        <w:t>Revenue Ruling 77-378.</w:t>
      </w:r>
    </w:p>
    <w:p w:rsidR="00ED1A38" w:rsidRDefault="00ED1A38" w:rsidP="00ED1A38">
      <w:pPr>
        <w:pStyle w:val="ListParagraph"/>
        <w:spacing w:after="0" w:line="240" w:lineRule="auto"/>
        <w:ind w:left="1800"/>
      </w:pPr>
    </w:p>
    <w:p w:rsidR="00ED1A38" w:rsidRDefault="00ED1A38" w:rsidP="00ED1A38">
      <w:pPr>
        <w:pStyle w:val="ListParagraph"/>
        <w:numPr>
          <w:ilvl w:val="5"/>
          <w:numId w:val="18"/>
        </w:numPr>
        <w:spacing w:after="0" w:line="240" w:lineRule="auto"/>
      </w:pPr>
      <w:r>
        <w:t xml:space="preserve">In Revenue Ruling 77-378, the grantor created an irrevocable trust which provided that the trustee was empowered to pay to the grantor such amounts of the trust’s income and principal as the trustee determines in its sole and absolute discretion.  Under the applicable state law, the trustee’s decision whether to distribute trust assets to the grantor was entirely voluntary.  Furthermore, the grantor </w:t>
      </w:r>
      <w:proofErr w:type="gramStart"/>
      <w:r>
        <w:t>was prohibited</w:t>
      </w:r>
      <w:proofErr w:type="gramEnd"/>
      <w:r>
        <w:t xml:space="preserve"> from requiring that any of the trust assets be distributed to the grantor nor could the creditors of the grantor reach any of the trust assets.</w:t>
      </w:r>
    </w:p>
    <w:p w:rsidR="00ED1A38" w:rsidRDefault="00ED1A38" w:rsidP="00ED1A38">
      <w:pPr>
        <w:pStyle w:val="ListParagraph"/>
        <w:spacing w:after="0" w:line="240" w:lineRule="auto"/>
        <w:ind w:left="2160"/>
      </w:pPr>
    </w:p>
    <w:p w:rsidR="00ED1A38" w:rsidRDefault="00ED1A38" w:rsidP="00ED1A38">
      <w:pPr>
        <w:pStyle w:val="ListParagraph"/>
        <w:numPr>
          <w:ilvl w:val="5"/>
          <w:numId w:val="18"/>
        </w:numPr>
        <w:spacing w:after="0" w:line="240" w:lineRule="auto"/>
      </w:pPr>
      <w:r>
        <w:t xml:space="preserve">Revenue Ruling 77-378 concluded that the grantor had parted with dominion and control over the property that the grantor transferred into the trust.  Although the trustee had an unrestricted power to pay trust assets to the grantor, the grantor could not require that any of the trust assets be </w:t>
      </w:r>
      <w:r>
        <w:lastRenderedPageBreak/>
        <w:t>distributed to the grantor nor could the grantor utilize the assets by going into debt and relegating the grantor’s cre</w:t>
      </w:r>
      <w:r w:rsidR="00EA5CCE">
        <w:t>ditors to the trust</w:t>
      </w:r>
      <w:r>
        <w:t xml:space="preserve">.  </w:t>
      </w:r>
      <w:r w:rsidR="00EA5CCE">
        <w:t>Revenue Ruling 77-378 therefore concluded</w:t>
      </w:r>
      <w:r>
        <w:t xml:space="preserve"> that the grantor’s transfer to the trust was a completed gift for federal gift tax purposes.</w:t>
      </w:r>
    </w:p>
    <w:p w:rsidR="0085515D" w:rsidRDefault="0085515D" w:rsidP="0085515D">
      <w:pPr>
        <w:pStyle w:val="ListParagraph"/>
      </w:pPr>
    </w:p>
    <w:p w:rsidR="0085515D" w:rsidRPr="0085515D" w:rsidRDefault="0085515D" w:rsidP="0085515D">
      <w:pPr>
        <w:pStyle w:val="ListParagraph"/>
        <w:numPr>
          <w:ilvl w:val="2"/>
          <w:numId w:val="18"/>
        </w:numPr>
        <w:spacing w:after="0" w:line="240" w:lineRule="auto"/>
      </w:pPr>
      <w:r>
        <w:rPr>
          <w:b/>
        </w:rPr>
        <w:t>Sections 2036(a</w:t>
      </w:r>
      <w:proofErr w:type="gramStart"/>
      <w:r>
        <w:rPr>
          <w:b/>
        </w:rPr>
        <w:t>)(</w:t>
      </w:r>
      <w:proofErr w:type="gramEnd"/>
      <w:r>
        <w:rPr>
          <w:b/>
        </w:rPr>
        <w:t>2) and Section 2038.</w:t>
      </w:r>
    </w:p>
    <w:p w:rsidR="0085515D" w:rsidRPr="0085515D" w:rsidRDefault="0085515D" w:rsidP="0085515D">
      <w:pPr>
        <w:pStyle w:val="ListParagraph"/>
        <w:spacing w:after="0" w:line="240" w:lineRule="auto"/>
        <w:ind w:left="1080"/>
      </w:pPr>
    </w:p>
    <w:p w:rsidR="0085515D" w:rsidRDefault="008F7083" w:rsidP="0085515D">
      <w:pPr>
        <w:spacing w:after="0" w:line="240" w:lineRule="auto"/>
        <w:ind w:firstLine="720"/>
      </w:pPr>
      <w:r>
        <w:t>Another concern relates to whether the trust assets will be includible in the grantor’s estate under Sections 2036(a</w:t>
      </w:r>
      <w:proofErr w:type="gramStart"/>
      <w:r>
        <w:t>)(</w:t>
      </w:r>
      <w:proofErr w:type="gramEnd"/>
      <w:r>
        <w:t>2) and Section 2038 of the IRC because of the grantor’s retained power to terminate the trust by relegating the grantor’s creditors to the entire property of the trust</w:t>
      </w:r>
      <w:r w:rsidR="0085515D">
        <w:t>.</w:t>
      </w:r>
    </w:p>
    <w:p w:rsidR="0085515D" w:rsidRPr="0085515D" w:rsidRDefault="0085515D" w:rsidP="0085515D">
      <w:pPr>
        <w:pStyle w:val="ListParagraph"/>
        <w:spacing w:after="0" w:line="240" w:lineRule="auto"/>
        <w:ind w:left="1080"/>
      </w:pPr>
    </w:p>
    <w:p w:rsidR="0085515D" w:rsidRDefault="0085515D" w:rsidP="0085515D">
      <w:pPr>
        <w:pStyle w:val="ListParagraph"/>
        <w:numPr>
          <w:ilvl w:val="4"/>
          <w:numId w:val="18"/>
        </w:numPr>
        <w:spacing w:after="0" w:line="240" w:lineRule="auto"/>
      </w:pPr>
      <w:r>
        <w:t>Section 2036(a</w:t>
      </w:r>
      <w:proofErr w:type="gramStart"/>
      <w:r>
        <w:t>)(</w:t>
      </w:r>
      <w:proofErr w:type="gramEnd"/>
      <w:r>
        <w:t>2)</w:t>
      </w:r>
      <w:r w:rsidRPr="0085515D">
        <w:t xml:space="preserve"> </w:t>
      </w:r>
      <w:r>
        <w:t>of the IRC provides that a decedent’s gross estate includes property transferred in trust other than for full and adequate consideration if the decedent retained the right to designate the persons who shall possess or enjoy the property or income therefrom.  IRC § 2036(a</w:t>
      </w:r>
      <w:proofErr w:type="gramStart"/>
      <w:r>
        <w:t>)(</w:t>
      </w:r>
      <w:proofErr w:type="gramEnd"/>
      <w:r>
        <w:t>2).</w:t>
      </w:r>
    </w:p>
    <w:p w:rsidR="0085515D" w:rsidRDefault="0085515D" w:rsidP="0085515D">
      <w:pPr>
        <w:pStyle w:val="ListParagraph"/>
        <w:spacing w:after="0" w:line="240" w:lineRule="auto"/>
        <w:ind w:left="1800"/>
      </w:pPr>
    </w:p>
    <w:p w:rsidR="0085515D" w:rsidRDefault="0085515D" w:rsidP="0085515D">
      <w:pPr>
        <w:pStyle w:val="ListParagraph"/>
        <w:numPr>
          <w:ilvl w:val="4"/>
          <w:numId w:val="18"/>
        </w:numPr>
        <w:spacing w:after="0" w:line="240" w:lineRule="auto"/>
      </w:pPr>
      <w:r>
        <w:t xml:space="preserve">Section 2038 of the </w:t>
      </w:r>
      <w:r w:rsidR="00ED1A38">
        <w:t>IRC</w:t>
      </w:r>
      <w:r>
        <w:t xml:space="preserve"> provides that a decedent’s gross estate includes property transferred in trust other than for full and adequate consideration if the decedent retained the right to alter, amend or revoke the trust.  IRC § 2038.</w:t>
      </w:r>
    </w:p>
    <w:p w:rsidR="0085515D" w:rsidRDefault="0085515D" w:rsidP="0085515D">
      <w:pPr>
        <w:pStyle w:val="ListParagraph"/>
      </w:pPr>
    </w:p>
    <w:p w:rsidR="0085515D" w:rsidRDefault="0085515D" w:rsidP="0085515D">
      <w:pPr>
        <w:pStyle w:val="ListParagraph"/>
        <w:numPr>
          <w:ilvl w:val="4"/>
          <w:numId w:val="18"/>
        </w:numPr>
        <w:spacing w:after="0" w:line="240" w:lineRule="auto"/>
      </w:pPr>
      <w:r>
        <w:t>Both Sections 2038(a) and 2036(a</w:t>
      </w:r>
      <w:proofErr w:type="gramStart"/>
      <w:r>
        <w:t>)(</w:t>
      </w:r>
      <w:proofErr w:type="gramEnd"/>
      <w:r>
        <w:t>2) have been used to cause a self-settled trust whose assets are subject to the claims of the grantor’s creditors to be included in the grantor’s estate.  See Rev. Rul. 76-103; Estate of Paxton, 68 TC 785 (1986).</w:t>
      </w:r>
    </w:p>
    <w:p w:rsidR="0085515D" w:rsidRDefault="0085515D" w:rsidP="0085515D">
      <w:pPr>
        <w:pStyle w:val="ListParagraph"/>
      </w:pPr>
    </w:p>
    <w:p w:rsidR="0085515D" w:rsidRPr="0085515D" w:rsidRDefault="0085515D" w:rsidP="0085515D">
      <w:pPr>
        <w:pStyle w:val="ListParagraph"/>
        <w:numPr>
          <w:ilvl w:val="1"/>
          <w:numId w:val="18"/>
        </w:numPr>
        <w:spacing w:after="0" w:line="240" w:lineRule="auto"/>
      </w:pPr>
      <w:r>
        <w:rPr>
          <w:b/>
        </w:rPr>
        <w:t>Grantor’s Retained Beneficial Interest.</w:t>
      </w:r>
    </w:p>
    <w:p w:rsidR="0085515D" w:rsidRPr="0085515D" w:rsidRDefault="0085515D" w:rsidP="0085515D">
      <w:pPr>
        <w:pStyle w:val="ListParagraph"/>
        <w:spacing w:after="0" w:line="240" w:lineRule="auto"/>
      </w:pPr>
    </w:p>
    <w:p w:rsidR="0085515D" w:rsidRDefault="0085515D" w:rsidP="0085515D">
      <w:pPr>
        <w:pStyle w:val="ListParagraph"/>
        <w:spacing w:after="0" w:line="240" w:lineRule="auto"/>
        <w:ind w:left="0" w:firstLine="720"/>
      </w:pPr>
      <w:r>
        <w:t>Another issue to address is whether the grantor’s mere retention of a discretionary beneficial interest in the trust will cause the assets to be included in the grantor’s gross estate under Section 2036(a)(1) of the IRC.</w:t>
      </w:r>
    </w:p>
    <w:p w:rsidR="0085515D" w:rsidRPr="0085515D" w:rsidRDefault="0085515D" w:rsidP="0085515D">
      <w:pPr>
        <w:pStyle w:val="ListParagraph"/>
        <w:spacing w:after="0" w:line="240" w:lineRule="auto"/>
      </w:pPr>
    </w:p>
    <w:p w:rsidR="0085515D" w:rsidRPr="0085515D" w:rsidRDefault="0085515D" w:rsidP="0085515D">
      <w:pPr>
        <w:pStyle w:val="ListParagraph"/>
        <w:numPr>
          <w:ilvl w:val="2"/>
          <w:numId w:val="18"/>
        </w:numPr>
        <w:spacing w:after="0" w:line="240" w:lineRule="auto"/>
      </w:pPr>
      <w:r>
        <w:rPr>
          <w:b/>
        </w:rPr>
        <w:t>Section 2036(a</w:t>
      </w:r>
      <w:proofErr w:type="gramStart"/>
      <w:r>
        <w:rPr>
          <w:b/>
        </w:rPr>
        <w:t>)(</w:t>
      </w:r>
      <w:proofErr w:type="gramEnd"/>
      <w:r>
        <w:rPr>
          <w:b/>
        </w:rPr>
        <w:t>1).</w:t>
      </w:r>
    </w:p>
    <w:p w:rsidR="0085515D" w:rsidRDefault="0085515D" w:rsidP="0085515D">
      <w:pPr>
        <w:pStyle w:val="ListParagraph"/>
        <w:spacing w:after="0" w:line="240" w:lineRule="auto"/>
        <w:ind w:left="1080"/>
      </w:pPr>
    </w:p>
    <w:p w:rsidR="0085515D" w:rsidRDefault="0085515D" w:rsidP="0085515D">
      <w:pPr>
        <w:pStyle w:val="ListParagraph"/>
        <w:numPr>
          <w:ilvl w:val="4"/>
          <w:numId w:val="18"/>
        </w:numPr>
        <w:spacing w:after="0" w:line="240" w:lineRule="auto"/>
      </w:pPr>
      <w:r>
        <w:t>Section 2036(a)(1) of the Internal Revenue Code provides that a decedent’s gross estate shall include property transferred in trust other than for full and adequate consideration if the decedent retained the right to income from the property.  IRC § 2036(a</w:t>
      </w:r>
      <w:proofErr w:type="gramStart"/>
      <w:r>
        <w:t>)(</w:t>
      </w:r>
      <w:proofErr w:type="gramEnd"/>
      <w:r>
        <w:t>1).</w:t>
      </w:r>
    </w:p>
    <w:p w:rsidR="0085515D" w:rsidRDefault="0085515D" w:rsidP="0085515D">
      <w:pPr>
        <w:pStyle w:val="ListParagraph"/>
        <w:spacing w:after="0" w:line="240" w:lineRule="auto"/>
        <w:ind w:left="1800"/>
      </w:pPr>
    </w:p>
    <w:p w:rsidR="0085515D" w:rsidRDefault="0085515D" w:rsidP="0085515D">
      <w:pPr>
        <w:pStyle w:val="ListParagraph"/>
        <w:numPr>
          <w:ilvl w:val="4"/>
          <w:numId w:val="18"/>
        </w:numPr>
        <w:spacing w:after="0" w:line="240" w:lineRule="auto"/>
      </w:pPr>
      <w:r>
        <w:t>The use, possession, right to income or other enjoyment of the transferred property is considered as being retained by the decedent to the extent the use, possession, right to the income, or other enjoyment is to be applied toward the discharge of a legal obligation of the decedent.  Treas. Reg. § 20.2036-1(b</w:t>
      </w:r>
      <w:proofErr w:type="gramStart"/>
      <w:r>
        <w:t>)(</w:t>
      </w:r>
      <w:proofErr w:type="gramEnd"/>
      <w:r>
        <w:t>2).</w:t>
      </w:r>
    </w:p>
    <w:p w:rsidR="0085515D" w:rsidRDefault="0085515D" w:rsidP="0085515D">
      <w:pPr>
        <w:pStyle w:val="ListParagraph"/>
      </w:pPr>
    </w:p>
    <w:p w:rsidR="0085515D" w:rsidRDefault="0085515D" w:rsidP="0085515D">
      <w:pPr>
        <w:pStyle w:val="ListParagraph"/>
        <w:numPr>
          <w:ilvl w:val="4"/>
          <w:numId w:val="18"/>
        </w:numPr>
        <w:spacing w:after="0" w:line="240" w:lineRule="auto"/>
      </w:pPr>
      <w:r>
        <w:lastRenderedPageBreak/>
        <w:t>The right to the income need not be express</w:t>
      </w:r>
      <w:r w:rsidR="00ED1A38">
        <w:t xml:space="preserve"> but may be</w:t>
      </w:r>
      <w:r>
        <w:t xml:space="preserve"> implied.  Treas. Reg. § 20.2036-1(1</w:t>
      </w:r>
      <w:proofErr w:type="gramStart"/>
      <w:r>
        <w:t>)(</w:t>
      </w:r>
      <w:proofErr w:type="spellStart"/>
      <w:proofErr w:type="gramEnd"/>
      <w:r>
        <w:t>i</w:t>
      </w:r>
      <w:proofErr w:type="spellEnd"/>
      <w:r>
        <w:t>).</w:t>
      </w:r>
    </w:p>
    <w:p w:rsidR="0085515D" w:rsidRDefault="0085515D" w:rsidP="0085515D">
      <w:pPr>
        <w:spacing w:after="0" w:line="240" w:lineRule="auto"/>
      </w:pPr>
    </w:p>
    <w:p w:rsidR="004D02FD" w:rsidRPr="0085515D" w:rsidRDefault="0085515D" w:rsidP="00050361">
      <w:pPr>
        <w:pStyle w:val="ListParagraph"/>
        <w:numPr>
          <w:ilvl w:val="2"/>
          <w:numId w:val="18"/>
        </w:numPr>
        <w:spacing w:after="0" w:line="240" w:lineRule="auto"/>
      </w:pPr>
      <w:r>
        <w:rPr>
          <w:b/>
        </w:rPr>
        <w:t>Revenue Ruling 2004-64</w:t>
      </w:r>
      <w:r w:rsidR="00ED1A38">
        <w:rPr>
          <w:b/>
        </w:rPr>
        <w:t xml:space="preserve"> (the “2004 Ruling”)</w:t>
      </w:r>
      <w:r>
        <w:rPr>
          <w:b/>
        </w:rPr>
        <w:t>.</w:t>
      </w:r>
    </w:p>
    <w:p w:rsidR="0085515D" w:rsidRPr="0085515D" w:rsidRDefault="0085515D" w:rsidP="0085515D">
      <w:pPr>
        <w:pStyle w:val="ListParagraph"/>
        <w:spacing w:after="0" w:line="240" w:lineRule="auto"/>
        <w:ind w:left="1080"/>
      </w:pPr>
    </w:p>
    <w:p w:rsidR="0085515D" w:rsidRDefault="00ED1A38" w:rsidP="0085515D">
      <w:pPr>
        <w:pStyle w:val="ListParagraph"/>
        <w:numPr>
          <w:ilvl w:val="4"/>
          <w:numId w:val="18"/>
        </w:numPr>
        <w:spacing w:after="0" w:line="240" w:lineRule="auto"/>
      </w:pPr>
      <w:r>
        <w:t>The 2004 Ruling</w:t>
      </w:r>
      <w:r w:rsidR="0085515D">
        <w:t xml:space="preserve"> </w:t>
      </w:r>
      <w:r w:rsidR="00441190">
        <w:t>held that the grantor of a trust, which is taxed as a grantor trust for income tax purposes, is not treated as making an additional taxable gift to the trust by virtue of paying the trust’s income tax liability</w:t>
      </w:r>
      <w:r w:rsidR="008F7083">
        <w:t>.</w:t>
      </w:r>
    </w:p>
    <w:p w:rsidR="0085515D" w:rsidRDefault="0085515D" w:rsidP="0085515D">
      <w:pPr>
        <w:pStyle w:val="ListParagraph"/>
        <w:spacing w:after="0" w:line="240" w:lineRule="auto"/>
        <w:ind w:left="1800"/>
      </w:pPr>
    </w:p>
    <w:p w:rsidR="00862DF2" w:rsidRDefault="00ED1A38" w:rsidP="0085515D">
      <w:pPr>
        <w:pStyle w:val="ListParagraph"/>
        <w:numPr>
          <w:ilvl w:val="4"/>
          <w:numId w:val="18"/>
        </w:numPr>
        <w:spacing w:after="0" w:line="240" w:lineRule="auto"/>
      </w:pPr>
      <w:r>
        <w:t xml:space="preserve">The 2004 Ruling </w:t>
      </w:r>
      <w:r w:rsidR="00862DF2">
        <w:t xml:space="preserve">also addressed the estate tax consequences if, pursuant to the governing instrument or applicable local law, the grantor of the trust may or must be reimbursed by the trust for the income tax. </w:t>
      </w:r>
    </w:p>
    <w:p w:rsidR="00862DF2" w:rsidRDefault="00862DF2" w:rsidP="00862DF2">
      <w:pPr>
        <w:pStyle w:val="ListParagraph"/>
      </w:pPr>
    </w:p>
    <w:p w:rsidR="0085515D" w:rsidRDefault="00ED1A38" w:rsidP="0085515D">
      <w:pPr>
        <w:pStyle w:val="ListParagraph"/>
        <w:numPr>
          <w:ilvl w:val="4"/>
          <w:numId w:val="18"/>
        </w:numPr>
        <w:spacing w:after="0" w:line="240" w:lineRule="auto"/>
      </w:pPr>
      <w:r>
        <w:t xml:space="preserve">The 2004 Ruling </w:t>
      </w:r>
      <w:r w:rsidR="00862DF2">
        <w:t>held that assuming there is no understanding, expressed or implied, between the grantor and the trustee regarding the trustee’s exercise of its discretion to reimburse the grantor for the income tax liability, the trustee’s discretion to satisfy such obligation will not alone cause inclusion of the trust assets in the grantor’s gross estate for federal estate tax purposes.</w:t>
      </w:r>
    </w:p>
    <w:p w:rsidR="00862DF2" w:rsidRDefault="00862DF2" w:rsidP="00862DF2">
      <w:pPr>
        <w:pStyle w:val="ListParagraph"/>
      </w:pPr>
    </w:p>
    <w:p w:rsidR="00862DF2" w:rsidRDefault="00862DF2" w:rsidP="0085515D">
      <w:pPr>
        <w:pStyle w:val="ListParagraph"/>
        <w:numPr>
          <w:ilvl w:val="4"/>
          <w:numId w:val="18"/>
        </w:numPr>
        <w:spacing w:after="0" w:line="240" w:lineRule="auto"/>
      </w:pPr>
      <w:r>
        <w:t xml:space="preserve">However, </w:t>
      </w:r>
      <w:r w:rsidR="00ED1A38">
        <w:t xml:space="preserve">the 2004 Ruling </w:t>
      </w:r>
      <w:r>
        <w:t>specifically states that the trustee’s discretion to reimburse the grantor for the income tax liability combined with other factors including, but not limited to: (</w:t>
      </w:r>
      <w:proofErr w:type="spellStart"/>
      <w:r>
        <w:t>i</w:t>
      </w:r>
      <w:proofErr w:type="spellEnd"/>
      <w:r>
        <w:t>) an understanding or preexisting arrangement between the grantor and the trustee regarding the trustee’s exercise of its discretion; (ii) a power retained by the grantor to remove the trustee and name a successor trustee; or (iii) applicable local law subjecting the trust assets to the claims of the grantor’s creditors may cause inclusion of the trust assets in the grantor’s gross estate for federal estate tax purposes.</w:t>
      </w:r>
    </w:p>
    <w:p w:rsidR="00862DF2" w:rsidRDefault="00862DF2" w:rsidP="00862DF2">
      <w:pPr>
        <w:pStyle w:val="ListParagraph"/>
      </w:pPr>
    </w:p>
    <w:p w:rsidR="00862DF2" w:rsidRDefault="00ED1A38" w:rsidP="0085515D">
      <w:pPr>
        <w:pStyle w:val="ListParagraph"/>
        <w:numPr>
          <w:ilvl w:val="4"/>
          <w:numId w:val="18"/>
        </w:numPr>
        <w:spacing w:after="0" w:line="240" w:lineRule="auto"/>
      </w:pPr>
      <w:r>
        <w:t xml:space="preserve">The 2004 Ruling </w:t>
      </w:r>
      <w:r w:rsidR="00862DF2">
        <w:t xml:space="preserve">seems to address the concern raised in the completed gift asset protection trust context regarding whether the grantor’s mere retention of a discretionary beneficial interest is sufficient to cause inclusion of the trust assets in the grantor’s estate under Section 2036(a)(1) of the IRC.  Following the rationale contained in </w:t>
      </w:r>
      <w:r>
        <w:t>the 2004 Ruling</w:t>
      </w:r>
      <w:r w:rsidR="00862DF2">
        <w:t>, the trustee’s mere ability to distribute asset</w:t>
      </w:r>
      <w:r>
        <w:t>s</w:t>
      </w:r>
      <w:r w:rsidR="00862DF2">
        <w:t xml:space="preserve"> to the grantor should not alone cause inclusion of the assets in the grantor’s gross estate for federal estate tax purposes.</w:t>
      </w:r>
    </w:p>
    <w:p w:rsidR="00862DF2" w:rsidRDefault="00862DF2" w:rsidP="00862DF2">
      <w:pPr>
        <w:pStyle w:val="ListParagraph"/>
      </w:pPr>
    </w:p>
    <w:p w:rsidR="00862DF2" w:rsidRPr="00862DF2" w:rsidRDefault="00862DF2" w:rsidP="00862DF2">
      <w:pPr>
        <w:pStyle w:val="ListParagraph"/>
        <w:numPr>
          <w:ilvl w:val="1"/>
          <w:numId w:val="18"/>
        </w:numPr>
        <w:spacing w:after="0" w:line="240" w:lineRule="auto"/>
      </w:pPr>
      <w:r>
        <w:rPr>
          <w:b/>
        </w:rPr>
        <w:t>The Private Letter Rulings.</w:t>
      </w:r>
    </w:p>
    <w:p w:rsidR="00862DF2" w:rsidRPr="00862DF2" w:rsidRDefault="00862DF2" w:rsidP="00862DF2">
      <w:pPr>
        <w:pStyle w:val="ListParagraph"/>
        <w:spacing w:after="0" w:line="240" w:lineRule="auto"/>
      </w:pPr>
    </w:p>
    <w:p w:rsidR="00862DF2" w:rsidRPr="00862DF2" w:rsidRDefault="00862DF2" w:rsidP="00862DF2">
      <w:pPr>
        <w:pStyle w:val="ListParagraph"/>
        <w:spacing w:after="0" w:line="240" w:lineRule="auto"/>
        <w:ind w:left="0" w:firstLine="720"/>
      </w:pPr>
      <w:r>
        <w:t xml:space="preserve">Two Private Letter Rulings have been issued addressing the transfer tax consequences associated with self-settled asset protection trusts.  </w:t>
      </w:r>
      <w:proofErr w:type="gramStart"/>
      <w:r>
        <w:t>See PLR 9837007 and PLR 200944002.</w:t>
      </w:r>
      <w:proofErr w:type="gramEnd"/>
      <w:r>
        <w:t xml:space="preserve">  Both Private Letter Rulings involve</w:t>
      </w:r>
      <w:r w:rsidR="008F7083">
        <w:t>d</w:t>
      </w:r>
      <w:r>
        <w:t xml:space="preserve"> the use of Alaska trusts</w:t>
      </w:r>
      <w:r w:rsidR="008F7083">
        <w:t xml:space="preserve"> established by Alaska residents</w:t>
      </w:r>
      <w:r>
        <w:t>.</w:t>
      </w:r>
    </w:p>
    <w:p w:rsidR="00862DF2" w:rsidRPr="00862DF2" w:rsidRDefault="00862DF2" w:rsidP="00862DF2">
      <w:pPr>
        <w:pStyle w:val="ListParagraph"/>
        <w:spacing w:after="0" w:line="240" w:lineRule="auto"/>
      </w:pPr>
    </w:p>
    <w:p w:rsidR="00862DF2" w:rsidRPr="00D2625B" w:rsidRDefault="00D2625B" w:rsidP="00D2625B">
      <w:pPr>
        <w:pStyle w:val="ListParagraph"/>
        <w:numPr>
          <w:ilvl w:val="2"/>
          <w:numId w:val="18"/>
        </w:numPr>
        <w:spacing w:after="0" w:line="240" w:lineRule="auto"/>
      </w:pPr>
      <w:r>
        <w:rPr>
          <w:b/>
        </w:rPr>
        <w:t xml:space="preserve">PLR 9837007 (the “1998 </w:t>
      </w:r>
      <w:r w:rsidR="00ED1A38">
        <w:rPr>
          <w:b/>
        </w:rPr>
        <w:t>PLR</w:t>
      </w:r>
      <w:r>
        <w:rPr>
          <w:b/>
        </w:rPr>
        <w:t>”).</w:t>
      </w:r>
    </w:p>
    <w:p w:rsidR="00D2625B" w:rsidRDefault="00D2625B" w:rsidP="00D2625B">
      <w:pPr>
        <w:pStyle w:val="ListParagraph"/>
        <w:spacing w:after="0" w:line="240" w:lineRule="auto"/>
        <w:ind w:left="1080"/>
      </w:pPr>
    </w:p>
    <w:p w:rsidR="00D2625B" w:rsidRDefault="00D2625B" w:rsidP="00D2625B">
      <w:pPr>
        <w:pStyle w:val="ListParagraph"/>
        <w:numPr>
          <w:ilvl w:val="4"/>
          <w:numId w:val="18"/>
        </w:numPr>
        <w:spacing w:after="0" w:line="240" w:lineRule="auto"/>
      </w:pPr>
      <w:r>
        <w:lastRenderedPageBreak/>
        <w:t>In the 1998</w:t>
      </w:r>
      <w:r w:rsidR="00ED1A38">
        <w:t xml:space="preserve"> PLR</w:t>
      </w:r>
      <w:r>
        <w:t xml:space="preserve"> the grantor created a trust for the benefit of herself and her descendants.  The trustee could, but was not required to, distribute income and/or principal from the trust to any of the beneficiaries.</w:t>
      </w:r>
    </w:p>
    <w:p w:rsidR="00D2625B" w:rsidRDefault="00D2625B" w:rsidP="00D2625B">
      <w:pPr>
        <w:pStyle w:val="ListParagraph"/>
        <w:spacing w:after="0" w:line="240" w:lineRule="auto"/>
        <w:ind w:left="1800"/>
      </w:pPr>
    </w:p>
    <w:p w:rsidR="00D2625B" w:rsidRDefault="00ED1A38" w:rsidP="00D2625B">
      <w:pPr>
        <w:pStyle w:val="ListParagraph"/>
        <w:numPr>
          <w:ilvl w:val="4"/>
          <w:numId w:val="18"/>
        </w:numPr>
        <w:spacing w:after="0" w:line="240" w:lineRule="auto"/>
      </w:pPr>
      <w:r>
        <w:t>The 1998 PLR</w:t>
      </w:r>
      <w:r w:rsidR="00D2625B">
        <w:t xml:space="preserve"> concluded that the transfer to the trust would be a completed gift for federal gift tax purposes because a creditor of the grantor would be precluded from satisfying claims out of the grantor’s interest in the trust.  However, it expressly did not rule on whether the assets would be included in the grantor’s estate for federal estate tax purposes.</w:t>
      </w:r>
    </w:p>
    <w:p w:rsidR="00D2625B" w:rsidRDefault="00D2625B" w:rsidP="00D2625B">
      <w:pPr>
        <w:pStyle w:val="ListParagraph"/>
      </w:pPr>
    </w:p>
    <w:p w:rsidR="00D2625B" w:rsidRPr="00D2625B" w:rsidRDefault="00ED1A38" w:rsidP="00D2625B">
      <w:pPr>
        <w:pStyle w:val="ListParagraph"/>
        <w:numPr>
          <w:ilvl w:val="2"/>
          <w:numId w:val="18"/>
        </w:numPr>
        <w:spacing w:after="0" w:line="240" w:lineRule="auto"/>
      </w:pPr>
      <w:r>
        <w:rPr>
          <w:b/>
        </w:rPr>
        <w:t>PLR 200944002 (the “2009 PLR</w:t>
      </w:r>
      <w:r w:rsidR="00D2625B">
        <w:rPr>
          <w:b/>
        </w:rPr>
        <w:t>”).</w:t>
      </w:r>
    </w:p>
    <w:p w:rsidR="00D2625B" w:rsidRPr="00D2625B" w:rsidRDefault="00D2625B" w:rsidP="00D2625B">
      <w:pPr>
        <w:pStyle w:val="ListParagraph"/>
        <w:spacing w:after="0" w:line="240" w:lineRule="auto"/>
        <w:ind w:left="1080"/>
      </w:pPr>
    </w:p>
    <w:p w:rsidR="00D2625B" w:rsidRDefault="00D2625B" w:rsidP="00D2625B">
      <w:pPr>
        <w:pStyle w:val="ListParagraph"/>
        <w:numPr>
          <w:ilvl w:val="4"/>
          <w:numId w:val="18"/>
        </w:numPr>
        <w:spacing w:after="0" w:line="240" w:lineRule="auto"/>
      </w:pPr>
      <w:r>
        <w:t>In the 2</w:t>
      </w:r>
      <w:r w:rsidR="00ED1A38">
        <w:t xml:space="preserve">009 PLR </w:t>
      </w:r>
      <w:r>
        <w:t>the grantor created a trust for the benefit of himself, his spouse and descendants.  Distributions of income and principal could be made to the beneficiaries</w:t>
      </w:r>
      <w:r w:rsidR="00ED1A38">
        <w:t xml:space="preserve"> of the trust</w:t>
      </w:r>
      <w:r>
        <w:t xml:space="preserve"> in the sole and absolute discretion of the trustee.</w:t>
      </w:r>
    </w:p>
    <w:p w:rsidR="00D2625B" w:rsidRDefault="00D2625B" w:rsidP="00D2625B">
      <w:pPr>
        <w:pStyle w:val="ListParagraph"/>
        <w:spacing w:after="0" w:line="240" w:lineRule="auto"/>
        <w:ind w:left="1800"/>
      </w:pPr>
    </w:p>
    <w:p w:rsidR="00D2625B" w:rsidRDefault="00ED1A38" w:rsidP="00D2625B">
      <w:pPr>
        <w:pStyle w:val="ListParagraph"/>
        <w:numPr>
          <w:ilvl w:val="4"/>
          <w:numId w:val="18"/>
        </w:numPr>
        <w:spacing w:after="0" w:line="240" w:lineRule="auto"/>
      </w:pPr>
      <w:r>
        <w:t>The 2009 PLR</w:t>
      </w:r>
      <w:r w:rsidR="00D2625B">
        <w:t xml:space="preserve"> again concluded that the transfer to the trust was a completed gift for federal gift tax purposes.  However, the 2009 </w:t>
      </w:r>
      <w:r>
        <w:t>PLR</w:t>
      </w:r>
      <w:r w:rsidR="00D2625B">
        <w:t xml:space="preserve"> also concluded that the trustee’s discretionary authority to distribute income and/or principal to the grantor does not by itself cause the trust to be includable in the grantor’s estate</w:t>
      </w:r>
      <w:r>
        <w:t xml:space="preserve"> for federal estate tax purposes</w:t>
      </w:r>
      <w:r w:rsidR="00D2625B">
        <w:t xml:space="preserve"> under Section 2036</w:t>
      </w:r>
      <w:r w:rsidR="008F7083">
        <w:t>(a)(1)</w:t>
      </w:r>
      <w:r w:rsidR="00D2625B">
        <w:t xml:space="preserve"> of the IRC.</w:t>
      </w:r>
    </w:p>
    <w:p w:rsidR="00D2625B" w:rsidRDefault="00D2625B" w:rsidP="00D2625B">
      <w:pPr>
        <w:pStyle w:val="ListParagraph"/>
      </w:pPr>
    </w:p>
    <w:p w:rsidR="00D2625B" w:rsidRDefault="00D2625B" w:rsidP="00D2625B">
      <w:pPr>
        <w:pStyle w:val="ListParagraph"/>
        <w:numPr>
          <w:ilvl w:val="4"/>
          <w:numId w:val="18"/>
        </w:numPr>
        <w:spacing w:after="0" w:line="240" w:lineRule="auto"/>
      </w:pPr>
      <w:r>
        <w:t xml:space="preserve">The </w:t>
      </w:r>
      <w:r w:rsidR="00ED1A38">
        <w:t>analysis contained in the 2009 PLR</w:t>
      </w:r>
      <w:r>
        <w:t xml:space="preserve"> is based primarily on </w:t>
      </w:r>
      <w:r w:rsidR="00ED1A38">
        <w:t>the 2004 Ruling</w:t>
      </w:r>
      <w:r>
        <w:t xml:space="preserve">.  Both </w:t>
      </w:r>
      <w:r w:rsidR="00ED1A38">
        <w:t>the 2004 Ruling</w:t>
      </w:r>
      <w:r>
        <w:t xml:space="preserve"> and the 2009 </w:t>
      </w:r>
      <w:r w:rsidR="00ED1A38">
        <w:t>PLR</w:t>
      </w:r>
      <w:r>
        <w:t xml:space="preserve"> conclude that the assets will not be included in the gran</w:t>
      </w:r>
      <w:r w:rsidR="00ED1A38">
        <w:t xml:space="preserve">tor’s estate under Section 2036(a)(1) </w:t>
      </w:r>
      <w:r>
        <w:t xml:space="preserve">under the theory that the trustee’s discretionary authority to distribute assets to the grantor will not by itself result in estate tax inclusion.  However, neither </w:t>
      </w:r>
      <w:r w:rsidR="00ED1A38">
        <w:t xml:space="preserve">the 2004 Ruling </w:t>
      </w:r>
      <w:r>
        <w:t xml:space="preserve">nor the 2009 </w:t>
      </w:r>
      <w:r w:rsidR="00ED1A38">
        <w:t>PLR</w:t>
      </w:r>
      <w:r>
        <w:t xml:space="preserve"> address whether Section</w:t>
      </w:r>
      <w:r w:rsidR="00ED1A38">
        <w:t>s</w:t>
      </w:r>
      <w:r>
        <w:t xml:space="preserve"> 203</w:t>
      </w:r>
      <w:r w:rsidR="008F7083">
        <w:t>6</w:t>
      </w:r>
      <w:r w:rsidR="00ED1A38">
        <w:t>(a</w:t>
      </w:r>
      <w:proofErr w:type="gramStart"/>
      <w:r w:rsidR="00ED1A38">
        <w:t>)(</w:t>
      </w:r>
      <w:proofErr w:type="gramEnd"/>
      <w:r w:rsidR="00ED1A38">
        <w:t>2) or</w:t>
      </w:r>
      <w:r w:rsidR="008F7083">
        <w:t xml:space="preserve"> 2038</w:t>
      </w:r>
      <w:r>
        <w:t xml:space="preserve"> will cause inclusion</w:t>
      </w:r>
      <w:r w:rsidR="00ED1A38">
        <w:t xml:space="preserve"> in the grantor’s estate</w:t>
      </w:r>
      <w:r>
        <w:t xml:space="preserve"> under the theory that the grantor could terminate the trust by relegating the grantor’s creditors to the entire property of the trust.</w:t>
      </w:r>
      <w:r w:rsidR="00ED1A38">
        <w:t xml:space="preserve">  For the </w:t>
      </w:r>
      <w:r w:rsidR="00441190">
        <w:t>reasons discussed in Section II</w:t>
      </w:r>
      <w:r w:rsidR="00ED1A38">
        <w:t xml:space="preserve"> Paragraph A of this outline, Section</w:t>
      </w:r>
      <w:r w:rsidR="008F7083">
        <w:t>s</w:t>
      </w:r>
      <w:r w:rsidR="00ED1A38">
        <w:t xml:space="preserve"> 2036(a</w:t>
      </w:r>
      <w:proofErr w:type="gramStart"/>
      <w:r w:rsidR="00ED1A38">
        <w:t>)(</w:t>
      </w:r>
      <w:proofErr w:type="gramEnd"/>
      <w:r w:rsidR="00ED1A38">
        <w:t>2) and 2038 should not cause the assets to be included in the grantor’s estate as long as the trust is created in a jurisdiction allowing for self-settled asset protection trusts as the grantor will be prohibited from relegating his or her creditors to the assets of the trust.</w:t>
      </w:r>
    </w:p>
    <w:p w:rsidR="00D2625B" w:rsidRDefault="00D2625B" w:rsidP="00D2625B">
      <w:pPr>
        <w:pStyle w:val="ListParagraph"/>
      </w:pPr>
    </w:p>
    <w:p w:rsidR="00D2625B" w:rsidRPr="00D2625B" w:rsidRDefault="00D2625B" w:rsidP="00D2625B">
      <w:pPr>
        <w:pStyle w:val="ListParagraph"/>
        <w:numPr>
          <w:ilvl w:val="1"/>
          <w:numId w:val="18"/>
        </w:numPr>
        <w:spacing w:after="0" w:line="240" w:lineRule="auto"/>
      </w:pPr>
      <w:r>
        <w:rPr>
          <w:b/>
        </w:rPr>
        <w:t>Creditor Exceptions.</w:t>
      </w:r>
    </w:p>
    <w:p w:rsidR="00D2625B" w:rsidRDefault="00D2625B" w:rsidP="00D2625B">
      <w:pPr>
        <w:pStyle w:val="ListParagraph"/>
        <w:spacing w:after="0" w:line="240" w:lineRule="auto"/>
      </w:pPr>
    </w:p>
    <w:p w:rsidR="00433ADD" w:rsidRDefault="008261BE" w:rsidP="00050361">
      <w:pPr>
        <w:pStyle w:val="ListParagraph"/>
        <w:numPr>
          <w:ilvl w:val="2"/>
          <w:numId w:val="18"/>
        </w:numPr>
        <w:spacing w:after="0" w:line="240" w:lineRule="auto"/>
      </w:pPr>
      <w:r>
        <w:t>All states that have self-settled trust legislation, other than Alaska or Nevada, allow certain creditors to access the trust.  For example, the Delaware Qualified Dispositions in Trust Act allows for certain family claims, including child support and alimony</w:t>
      </w:r>
      <w:r w:rsidR="00D2625B">
        <w:t>,</w:t>
      </w:r>
      <w:r>
        <w:t xml:space="preserve"> provided that with respect to an alimony claim the spouse must have been married to the grantor before the trust was created.  12 </w:t>
      </w:r>
      <w:r w:rsidRPr="00050361">
        <w:rPr>
          <w:u w:val="single"/>
        </w:rPr>
        <w:t>Del</w:t>
      </w:r>
      <w:r>
        <w:t xml:space="preserve">. </w:t>
      </w:r>
      <w:r w:rsidRPr="00050361">
        <w:rPr>
          <w:u w:val="single"/>
        </w:rPr>
        <w:t>C</w:t>
      </w:r>
      <w:r>
        <w:t>. §§ 3573(1) and 3570(9).</w:t>
      </w:r>
    </w:p>
    <w:p w:rsidR="00050361" w:rsidRDefault="00050361" w:rsidP="00050361">
      <w:pPr>
        <w:pStyle w:val="ListParagraph"/>
        <w:spacing w:after="0" w:line="240" w:lineRule="auto"/>
        <w:ind w:left="1080"/>
      </w:pPr>
    </w:p>
    <w:p w:rsidR="00433ADD" w:rsidRDefault="008261BE" w:rsidP="00050361">
      <w:pPr>
        <w:pStyle w:val="ListParagraph"/>
        <w:numPr>
          <w:ilvl w:val="2"/>
          <w:numId w:val="18"/>
        </w:numPr>
        <w:spacing w:after="0" w:line="240" w:lineRule="auto"/>
      </w:pPr>
      <w:r>
        <w:lastRenderedPageBreak/>
        <w:t>A question has arisen as to whether the mere fact that a family creditor could reach the trust assets is enough to cause the transfer to the trust from being an incomplete gift or otherwise cause the trust assets to be included in the grantor’s gross estate under Section</w:t>
      </w:r>
      <w:r w:rsidR="004369FB">
        <w:t>s</w:t>
      </w:r>
      <w:r>
        <w:t xml:space="preserve"> </w:t>
      </w:r>
      <w:r w:rsidR="004369FB">
        <w:t>2036(a</w:t>
      </w:r>
      <w:proofErr w:type="gramStart"/>
      <w:r w:rsidR="004369FB">
        <w:t>)(</w:t>
      </w:r>
      <w:proofErr w:type="gramEnd"/>
      <w:r w:rsidR="004369FB">
        <w:t xml:space="preserve">2) and </w:t>
      </w:r>
      <w:r>
        <w:t>2038.</w:t>
      </w:r>
    </w:p>
    <w:p w:rsidR="00433ADD" w:rsidRDefault="00433ADD" w:rsidP="00433ADD">
      <w:pPr>
        <w:pStyle w:val="ListParagraph"/>
        <w:spacing w:after="0" w:line="240" w:lineRule="auto"/>
        <w:ind w:left="1440"/>
      </w:pPr>
    </w:p>
    <w:p w:rsidR="008261BE" w:rsidRDefault="008261BE" w:rsidP="00050361">
      <w:pPr>
        <w:pStyle w:val="ListParagraph"/>
        <w:numPr>
          <w:ilvl w:val="2"/>
          <w:numId w:val="18"/>
        </w:numPr>
        <w:spacing w:after="0" w:line="240" w:lineRule="auto"/>
      </w:pPr>
      <w:r>
        <w:t xml:space="preserve">The reason for this concern stems from language contained in </w:t>
      </w:r>
      <w:r w:rsidR="004369FB">
        <w:t>the 2004 Ruling</w:t>
      </w:r>
      <w:r>
        <w:t xml:space="preserve">.  </w:t>
      </w:r>
      <w:r w:rsidR="004369FB">
        <w:t>The 2004 Ruling</w:t>
      </w:r>
      <w:r>
        <w:t xml:space="preserve"> expressly states that the trustee’s discretion to distribute trust assets to a grantor to satisfy the grantor’s income tax liability combined with other factors, such as applicable local law subjecting the trust assets to the claims of the grantor’s creditors, may cause inclusion of the trust assets in the grantor’s estate for federal estate tax purposes.</w:t>
      </w:r>
    </w:p>
    <w:p w:rsidR="008261BE" w:rsidRDefault="008261BE" w:rsidP="008261BE">
      <w:pPr>
        <w:pStyle w:val="ListParagraph"/>
      </w:pPr>
    </w:p>
    <w:p w:rsidR="008261BE" w:rsidRDefault="008261BE" w:rsidP="00050361">
      <w:pPr>
        <w:pStyle w:val="ListParagraph"/>
        <w:numPr>
          <w:ilvl w:val="2"/>
          <w:numId w:val="18"/>
        </w:numPr>
        <w:spacing w:after="0" w:line="240" w:lineRule="auto"/>
      </w:pPr>
      <w:r>
        <w:t>Proponents of Alaska and Nevada law have argued that the mere existence of the family claim exception contained in statutes of other jurisdictions, such as Delaware, would be enough to cause the assets to be includible in the gran</w:t>
      </w:r>
      <w:r w:rsidR="00D2625B">
        <w:t>tor’s estate under Section</w:t>
      </w:r>
      <w:r w:rsidR="004369FB">
        <w:t>s</w:t>
      </w:r>
      <w:r w:rsidR="00D2625B">
        <w:t xml:space="preserve"> 2036</w:t>
      </w:r>
      <w:r w:rsidR="004369FB">
        <w:t>(a</w:t>
      </w:r>
      <w:proofErr w:type="gramStart"/>
      <w:r w:rsidR="004369FB">
        <w:t>)(</w:t>
      </w:r>
      <w:proofErr w:type="gramEnd"/>
      <w:r w:rsidR="004369FB">
        <w:t>2) and 2038</w:t>
      </w:r>
      <w:r w:rsidR="00D2625B">
        <w:t xml:space="preserve"> and therefore a grantor should only establish a trust in Alaska or Nevada if the grantor desires for the trust assets to be excluded from his or her estate.</w:t>
      </w:r>
    </w:p>
    <w:p w:rsidR="008261BE" w:rsidRDefault="008261BE" w:rsidP="008261BE">
      <w:pPr>
        <w:pStyle w:val="ListParagraph"/>
      </w:pPr>
    </w:p>
    <w:p w:rsidR="008261BE" w:rsidRDefault="008261BE" w:rsidP="00050361">
      <w:pPr>
        <w:pStyle w:val="ListParagraph"/>
        <w:numPr>
          <w:ilvl w:val="2"/>
          <w:numId w:val="18"/>
        </w:numPr>
        <w:spacing w:after="0" w:line="240" w:lineRule="auto"/>
      </w:pPr>
      <w:r>
        <w:t xml:space="preserve">However, what is overlooked in this argument is the theory of acts of independent significance, which is </w:t>
      </w:r>
      <w:r w:rsidR="008F7083">
        <w:t>discussed</w:t>
      </w:r>
      <w:r w:rsidR="004369FB">
        <w:t xml:space="preserve"> in the next section of this outline.</w:t>
      </w:r>
    </w:p>
    <w:p w:rsidR="00D2625B" w:rsidRDefault="00D2625B" w:rsidP="004369FB"/>
    <w:p w:rsidR="00D2625B" w:rsidRPr="00D2625B" w:rsidRDefault="00D2625B" w:rsidP="00D2625B">
      <w:pPr>
        <w:pStyle w:val="ListParagraph"/>
        <w:numPr>
          <w:ilvl w:val="1"/>
          <w:numId w:val="18"/>
        </w:numPr>
        <w:spacing w:after="0" w:line="240" w:lineRule="auto"/>
      </w:pPr>
      <w:r>
        <w:rPr>
          <w:b/>
        </w:rPr>
        <w:t>Acts of Independent Significance.</w:t>
      </w:r>
    </w:p>
    <w:p w:rsidR="00D2625B" w:rsidRDefault="00D2625B" w:rsidP="00D2625B">
      <w:pPr>
        <w:pStyle w:val="ListParagraph"/>
        <w:spacing w:after="0" w:line="240" w:lineRule="auto"/>
      </w:pPr>
    </w:p>
    <w:p w:rsidR="00D2625B" w:rsidRDefault="00D2625B" w:rsidP="00D2625B">
      <w:pPr>
        <w:pStyle w:val="ListParagraph"/>
        <w:numPr>
          <w:ilvl w:val="2"/>
          <w:numId w:val="18"/>
        </w:numPr>
        <w:spacing w:after="0" w:line="240" w:lineRule="auto"/>
      </w:pPr>
      <w:r>
        <w:t>The theory of acts of independent significance is applied when determining whether the grantor retained a power which rises to the level of a power which will cause inclusion in the grantor’s gross estate under Section</w:t>
      </w:r>
      <w:r w:rsidR="008F7083">
        <w:t>s</w:t>
      </w:r>
      <w:r>
        <w:t xml:space="preserve"> 2036</w:t>
      </w:r>
      <w:r w:rsidR="008F7083">
        <w:t>(a</w:t>
      </w:r>
      <w:proofErr w:type="gramStart"/>
      <w:r w:rsidR="008F7083">
        <w:t>)(</w:t>
      </w:r>
      <w:proofErr w:type="gramEnd"/>
      <w:r w:rsidR="008F7083">
        <w:t>2)</w:t>
      </w:r>
      <w:r>
        <w:t xml:space="preserve"> or 2038 of the IRC or otherwise result in an incomplete gift.  If the retained power allows the grantor the ability to act in such a way so as </w:t>
      </w:r>
      <w:r w:rsidR="005B62DF">
        <w:t xml:space="preserve">to affect the beneficial interest of the trust, but the possibility of such action occurring is so </w:t>
      </w:r>
      <w:proofErr w:type="spellStart"/>
      <w:r w:rsidR="005B62DF">
        <w:t>diminimus</w:t>
      </w:r>
      <w:proofErr w:type="spellEnd"/>
      <w:r w:rsidR="005B62DF">
        <w:t xml:space="preserve"> and speculative, the power will be found to be an act of independent significance.  </w:t>
      </w:r>
      <w:r w:rsidR="004369FB">
        <w:t xml:space="preserve">See Estate of Tully, 528 F.2d 1401 (1976); Ellis v. Commissioner, 51 T.C. 182 (1968), judgment </w:t>
      </w:r>
      <w:proofErr w:type="spellStart"/>
      <w:r w:rsidR="004369FB">
        <w:t>aff’d</w:t>
      </w:r>
      <w:proofErr w:type="spellEnd"/>
      <w:r w:rsidR="004369FB">
        <w:t>, 437 F.2d 442; Rev. Rul. 80-25; and PLR 9141027</w:t>
      </w:r>
      <w:r w:rsidR="005B62DF">
        <w:t>.</w:t>
      </w:r>
    </w:p>
    <w:p w:rsidR="005B62DF" w:rsidRDefault="005B62DF" w:rsidP="005B62DF">
      <w:pPr>
        <w:pStyle w:val="ListParagraph"/>
        <w:spacing w:after="0" w:line="240" w:lineRule="auto"/>
        <w:ind w:left="1080"/>
      </w:pPr>
    </w:p>
    <w:p w:rsidR="005B62DF" w:rsidRDefault="005B62DF" w:rsidP="00D2625B">
      <w:pPr>
        <w:pStyle w:val="ListParagraph"/>
        <w:numPr>
          <w:ilvl w:val="2"/>
          <w:numId w:val="18"/>
        </w:numPr>
        <w:spacing w:after="0" w:line="240" w:lineRule="auto"/>
      </w:pPr>
      <w:r>
        <w:t>Courts have ruled that the possibility of divorce is an act of independent significance.   See Estate of Tully, 528 F</w:t>
      </w:r>
      <w:r w:rsidR="004369FB">
        <w:t>.</w:t>
      </w:r>
      <w:r>
        <w:t xml:space="preserve">2d 1401; PLR 9141027. </w:t>
      </w:r>
    </w:p>
    <w:p w:rsidR="005B62DF" w:rsidRDefault="005B62DF" w:rsidP="005B62DF">
      <w:pPr>
        <w:pStyle w:val="ListParagraph"/>
      </w:pPr>
    </w:p>
    <w:p w:rsidR="005B62DF" w:rsidRDefault="005B62DF" w:rsidP="005B62DF">
      <w:pPr>
        <w:pStyle w:val="ListParagraph"/>
        <w:numPr>
          <w:ilvl w:val="4"/>
          <w:numId w:val="18"/>
        </w:numPr>
        <w:spacing w:after="0" w:line="240" w:lineRule="auto"/>
      </w:pPr>
      <w:r>
        <w:t>Estate of Tully.</w:t>
      </w:r>
    </w:p>
    <w:p w:rsidR="005B62DF" w:rsidRDefault="005B62DF" w:rsidP="005B62DF">
      <w:pPr>
        <w:pStyle w:val="ListParagraph"/>
        <w:spacing w:after="0" w:line="240" w:lineRule="auto"/>
        <w:ind w:left="1800"/>
      </w:pPr>
    </w:p>
    <w:p w:rsidR="005B62DF" w:rsidRDefault="005B62DF" w:rsidP="005B62DF">
      <w:pPr>
        <w:pStyle w:val="ListParagraph"/>
        <w:numPr>
          <w:ilvl w:val="5"/>
          <w:numId w:val="18"/>
        </w:numPr>
        <w:spacing w:after="0" w:line="240" w:lineRule="auto"/>
        <w:ind w:left="2340" w:hanging="540"/>
      </w:pPr>
      <w:r>
        <w:t>In the Estate of Tully case the Court addressed whether death benefits paid directly to the decedent’s widow by his employer should be included in the decedent’s estate under Section 2038.</w:t>
      </w:r>
    </w:p>
    <w:p w:rsidR="005B62DF" w:rsidRDefault="005B62DF" w:rsidP="005B62DF">
      <w:pPr>
        <w:pStyle w:val="ListParagraph"/>
        <w:spacing w:after="0" w:line="240" w:lineRule="auto"/>
        <w:ind w:left="2160"/>
      </w:pPr>
    </w:p>
    <w:p w:rsidR="005B62DF" w:rsidRDefault="005B62DF" w:rsidP="005B62DF">
      <w:pPr>
        <w:pStyle w:val="ListParagraph"/>
        <w:numPr>
          <w:ilvl w:val="5"/>
          <w:numId w:val="18"/>
        </w:numPr>
        <w:spacing w:after="0" w:line="240" w:lineRule="auto"/>
        <w:ind w:left="2340" w:hanging="540"/>
      </w:pPr>
      <w:r>
        <w:t xml:space="preserve">The decedent and his business partner entered into an agreement which provided that upon the decedent’s death the company would pay the </w:t>
      </w:r>
      <w:r>
        <w:lastRenderedPageBreak/>
        <w:t>decedent</w:t>
      </w:r>
      <w:r w:rsidR="004369FB">
        <w:t>’s widow a death benefit equal i</w:t>
      </w:r>
      <w:r>
        <w:t>n amount to twice the annual salary which the company had paid to the decedent for the year immediately preceding the date of his death.</w:t>
      </w:r>
    </w:p>
    <w:p w:rsidR="005B62DF" w:rsidRDefault="005B62DF" w:rsidP="005B62DF">
      <w:pPr>
        <w:pStyle w:val="ListParagraph"/>
      </w:pPr>
    </w:p>
    <w:p w:rsidR="005B62DF" w:rsidRDefault="005B62DF" w:rsidP="005B62DF">
      <w:pPr>
        <w:pStyle w:val="ListParagraph"/>
        <w:numPr>
          <w:ilvl w:val="5"/>
          <w:numId w:val="18"/>
        </w:numPr>
        <w:spacing w:after="0" w:line="240" w:lineRule="auto"/>
        <w:ind w:left="2340" w:hanging="540"/>
      </w:pPr>
      <w:r>
        <w:t>One of the arguments made by the Internal Revenue Service was that the decedent retained a Section 2038 power to revoke or terminate the transfer of the death benefits to his wife by virtue of the possibility that he could have divorced his wife prior to his death.</w:t>
      </w:r>
    </w:p>
    <w:p w:rsidR="005B62DF" w:rsidRDefault="005B62DF" w:rsidP="005B62DF">
      <w:pPr>
        <w:pStyle w:val="ListParagraph"/>
      </w:pPr>
    </w:p>
    <w:p w:rsidR="005B62DF" w:rsidRDefault="005B62DF" w:rsidP="005B62DF">
      <w:pPr>
        <w:pStyle w:val="ListParagraph"/>
        <w:numPr>
          <w:ilvl w:val="5"/>
          <w:numId w:val="18"/>
        </w:numPr>
        <w:spacing w:after="0" w:line="240" w:lineRule="auto"/>
        <w:ind w:left="2340" w:hanging="540"/>
      </w:pPr>
      <w:r>
        <w:t xml:space="preserve">The Court held that the possibility of divorce is so </w:t>
      </w:r>
      <w:proofErr w:type="spellStart"/>
      <w:r>
        <w:t>diminimus</w:t>
      </w:r>
      <w:proofErr w:type="spellEnd"/>
      <w:r>
        <w:t xml:space="preserve"> and so speculative rather than demonstrative, real, apparent and evident that it cannot </w:t>
      </w:r>
      <w:proofErr w:type="gramStart"/>
      <w:r>
        <w:t>rise</w:t>
      </w:r>
      <w:proofErr w:type="gramEnd"/>
      <w:r>
        <w:t xml:space="preserve"> to the level of a Section 2038</w:t>
      </w:r>
      <w:r w:rsidR="005D03D8">
        <w:t xml:space="preserve"> </w:t>
      </w:r>
      <w:r>
        <w:t>power.</w:t>
      </w:r>
    </w:p>
    <w:p w:rsidR="005B62DF" w:rsidRDefault="005B62DF" w:rsidP="005B62DF">
      <w:pPr>
        <w:pStyle w:val="ListParagraph"/>
      </w:pPr>
    </w:p>
    <w:p w:rsidR="005B62DF" w:rsidRDefault="005B62DF" w:rsidP="005B62DF">
      <w:pPr>
        <w:pStyle w:val="ListParagraph"/>
        <w:numPr>
          <w:ilvl w:val="2"/>
          <w:numId w:val="18"/>
        </w:numPr>
        <w:spacing w:after="0" w:line="240" w:lineRule="auto"/>
      </w:pPr>
      <w:r>
        <w:t xml:space="preserve">Courts have also determined that acts of independent significance include failure to support a spouse as well as the ability to have or adopt children.  </w:t>
      </w:r>
      <w:r w:rsidR="004369FB">
        <w:t xml:space="preserve">Ellis v. Commissioner, 51 T.C. 182 (1968), judgment </w:t>
      </w:r>
      <w:proofErr w:type="spellStart"/>
      <w:r w:rsidR="004369FB">
        <w:t>aff’d</w:t>
      </w:r>
      <w:proofErr w:type="spellEnd"/>
      <w:r w:rsidR="004369FB">
        <w:t>, 437 F.2d 442</w:t>
      </w:r>
      <w:r w:rsidR="008F7083">
        <w:t>;</w:t>
      </w:r>
      <w:r w:rsidR="000C7C99">
        <w:t xml:space="preserve"> and</w:t>
      </w:r>
      <w:r w:rsidR="008F7083">
        <w:t xml:space="preserve"> Rev. Rul. 80-255</w:t>
      </w:r>
      <w:r>
        <w:t>.</w:t>
      </w:r>
    </w:p>
    <w:p w:rsidR="004369FB" w:rsidRDefault="004369FB" w:rsidP="004369FB">
      <w:pPr>
        <w:pStyle w:val="ListParagraph"/>
        <w:spacing w:after="0" w:line="240" w:lineRule="auto"/>
        <w:ind w:left="1080"/>
      </w:pPr>
    </w:p>
    <w:p w:rsidR="005B62DF" w:rsidRDefault="005B62DF" w:rsidP="005B62DF">
      <w:pPr>
        <w:pStyle w:val="ListParagraph"/>
        <w:numPr>
          <w:ilvl w:val="4"/>
          <w:numId w:val="18"/>
        </w:numPr>
        <w:spacing w:after="0" w:line="240" w:lineRule="auto"/>
      </w:pPr>
      <w:r>
        <w:t>Revenue Ruling 80-255.</w:t>
      </w:r>
    </w:p>
    <w:p w:rsidR="005B62DF" w:rsidRDefault="005B62DF" w:rsidP="005B62DF">
      <w:pPr>
        <w:pStyle w:val="ListParagraph"/>
        <w:spacing w:after="0" w:line="240" w:lineRule="auto"/>
        <w:ind w:left="1800"/>
      </w:pPr>
    </w:p>
    <w:p w:rsidR="005B62DF" w:rsidRDefault="005B62DF" w:rsidP="005B62DF">
      <w:pPr>
        <w:pStyle w:val="ListParagraph"/>
        <w:numPr>
          <w:ilvl w:val="5"/>
          <w:numId w:val="18"/>
        </w:numPr>
        <w:spacing w:after="0" w:line="240" w:lineRule="auto"/>
        <w:ind w:left="2340" w:hanging="540"/>
      </w:pPr>
      <w:r>
        <w:t>In Revenue Ruling 80-255, the decedent created an irrevocable trust which provided that the income was to be paid in equal shares to the decedent’s children and principal was to be distribute</w:t>
      </w:r>
      <w:r w:rsidR="004369FB">
        <w:t>d</w:t>
      </w:r>
      <w:r>
        <w:t xml:space="preserve"> twenty-one (21) years after the creation of the trust in equal shares to the decedent’s children, per </w:t>
      </w:r>
      <w:proofErr w:type="spellStart"/>
      <w:r>
        <w:t>stirpes</w:t>
      </w:r>
      <w:proofErr w:type="spellEnd"/>
      <w:r>
        <w:t>.  The trust instrument also provided that the decedent’s children, born or adopted after the creation of the trust, were to be additional beneficiaries.</w:t>
      </w:r>
    </w:p>
    <w:p w:rsidR="005B62DF" w:rsidRDefault="005B62DF" w:rsidP="005B62DF">
      <w:pPr>
        <w:pStyle w:val="ListParagraph"/>
        <w:spacing w:after="0" w:line="240" w:lineRule="auto"/>
        <w:ind w:left="2340"/>
      </w:pPr>
    </w:p>
    <w:p w:rsidR="005B62DF" w:rsidRDefault="005B62DF" w:rsidP="005B62DF">
      <w:pPr>
        <w:pStyle w:val="ListParagraph"/>
        <w:numPr>
          <w:ilvl w:val="5"/>
          <w:numId w:val="18"/>
        </w:numPr>
        <w:spacing w:after="0" w:line="240" w:lineRule="auto"/>
        <w:ind w:left="2340" w:hanging="540"/>
      </w:pPr>
      <w:r>
        <w:t>The issue addressed in Revenue Ruling 80-255 was whether the decedent retained a power to change the beneficial interest of the trust for purposes of Sections 2036(a</w:t>
      </w:r>
      <w:proofErr w:type="gramStart"/>
      <w:r>
        <w:t>)(</w:t>
      </w:r>
      <w:proofErr w:type="gramEnd"/>
      <w:r>
        <w:t>2) and 2038 of the IRC because the trust provided that children born or adopted after the creation of the trust were to become beneficiaries</w:t>
      </w:r>
      <w:r w:rsidR="004369FB">
        <w:t xml:space="preserve"> and the decedent had the ability to bear or adopt additional children</w:t>
      </w:r>
      <w:r>
        <w:t>.</w:t>
      </w:r>
    </w:p>
    <w:p w:rsidR="005B62DF" w:rsidRDefault="005B62DF" w:rsidP="005B62DF">
      <w:pPr>
        <w:pStyle w:val="ListParagraph"/>
      </w:pPr>
    </w:p>
    <w:p w:rsidR="005B62DF" w:rsidRDefault="005B62DF" w:rsidP="005B62DF">
      <w:pPr>
        <w:pStyle w:val="ListParagraph"/>
        <w:numPr>
          <w:ilvl w:val="5"/>
          <w:numId w:val="18"/>
        </w:numPr>
        <w:spacing w:after="0" w:line="240" w:lineRule="auto"/>
        <w:ind w:left="2340" w:hanging="540"/>
      </w:pPr>
      <w:r>
        <w:t xml:space="preserve">Revenue Ruling 80-255 determined </w:t>
      </w:r>
      <w:r w:rsidR="002515AD">
        <w:t xml:space="preserve">that the act of bearing or adopting children is an act of </w:t>
      </w:r>
      <w:r w:rsidR="004369FB">
        <w:t xml:space="preserve">independent significance. </w:t>
      </w:r>
      <w:r w:rsidR="008F7083">
        <w:t xml:space="preserve"> Revenue Ruling 80-255</w:t>
      </w:r>
      <w:r w:rsidR="002515AD">
        <w:t xml:space="preserve"> held that although the decedent’s act of bearing or adopting children will automatically result in adding the child as a beneficiary to the trust, such result is merely a collateral consequence of bearing or adopting children and is not equivalent to the decedent’s retention of a power to designate or change beneficial interest within the meaning of Sections 2036(a</w:t>
      </w:r>
      <w:proofErr w:type="gramStart"/>
      <w:r w:rsidR="002515AD">
        <w:t>)(</w:t>
      </w:r>
      <w:proofErr w:type="gramEnd"/>
      <w:r w:rsidR="002515AD">
        <w:t>2) and 2038 of the IRC.</w:t>
      </w:r>
    </w:p>
    <w:p w:rsidR="004369FB" w:rsidRDefault="004369FB" w:rsidP="004369FB">
      <w:pPr>
        <w:pStyle w:val="ListParagraph"/>
      </w:pPr>
    </w:p>
    <w:p w:rsidR="004369FB" w:rsidRPr="004369FB" w:rsidRDefault="004369FB" w:rsidP="004369FB">
      <w:pPr>
        <w:pStyle w:val="ListParagraph"/>
        <w:numPr>
          <w:ilvl w:val="1"/>
          <w:numId w:val="18"/>
        </w:numPr>
        <w:spacing w:after="0" w:line="240" w:lineRule="auto"/>
      </w:pPr>
      <w:r>
        <w:rPr>
          <w:b/>
        </w:rPr>
        <w:t>Conclusion.</w:t>
      </w:r>
    </w:p>
    <w:p w:rsidR="004369FB" w:rsidRDefault="004369FB" w:rsidP="004369FB">
      <w:pPr>
        <w:pStyle w:val="ListParagraph"/>
        <w:spacing w:after="0" w:line="240" w:lineRule="auto"/>
      </w:pPr>
    </w:p>
    <w:p w:rsidR="004369FB" w:rsidRDefault="004369FB" w:rsidP="004369FB">
      <w:pPr>
        <w:pStyle w:val="ListParagraph"/>
        <w:numPr>
          <w:ilvl w:val="2"/>
          <w:numId w:val="18"/>
        </w:numPr>
        <w:spacing w:after="0" w:line="240" w:lineRule="auto"/>
      </w:pPr>
      <w:r>
        <w:t>Completed gift asset protection trusts present a unique planning opportunity for clients who want to utilize the increase in gift</w:t>
      </w:r>
      <w:r w:rsidR="008F7083">
        <w:t xml:space="preserve"> tax</w:t>
      </w:r>
      <w:r>
        <w:t xml:space="preserve"> and GST exemption to transfer assets out of their estate but are concerned with the possibility of needing access to the funds in the future.</w:t>
      </w:r>
    </w:p>
    <w:p w:rsidR="004369FB" w:rsidRDefault="004369FB" w:rsidP="004369FB">
      <w:pPr>
        <w:pStyle w:val="ListParagraph"/>
        <w:spacing w:after="0" w:line="240" w:lineRule="auto"/>
        <w:ind w:left="1080"/>
      </w:pPr>
    </w:p>
    <w:p w:rsidR="004369FB" w:rsidRDefault="004369FB" w:rsidP="004369FB">
      <w:pPr>
        <w:pStyle w:val="ListParagraph"/>
        <w:numPr>
          <w:ilvl w:val="2"/>
          <w:numId w:val="18"/>
        </w:numPr>
        <w:spacing w:after="0" w:line="240" w:lineRule="auto"/>
      </w:pPr>
      <w:r>
        <w:t>It is extremely important that in establishing a completed gift asset protection trust there is no implied understanding between the grantor and the trustee regarding distribution from the trust to the grantor.</w:t>
      </w:r>
    </w:p>
    <w:p w:rsidR="004369FB" w:rsidRDefault="004369FB" w:rsidP="004369FB">
      <w:pPr>
        <w:pStyle w:val="ListParagraph"/>
      </w:pPr>
    </w:p>
    <w:p w:rsidR="004369FB" w:rsidRDefault="004369FB" w:rsidP="004369FB">
      <w:pPr>
        <w:pStyle w:val="ListParagraph"/>
        <w:numPr>
          <w:ilvl w:val="2"/>
          <w:numId w:val="18"/>
        </w:numPr>
        <w:spacing w:after="0" w:line="240" w:lineRule="auto"/>
      </w:pPr>
      <w:r>
        <w:t>Notwithstanding the fact that all states, other than Alaska and Nevada, allow for certain creditors to access the trust, the theory of acts of independent significance should allow a grantor to establish a completed gift asset protection trust in any jurisdiction allowing for self-settled asset protection trusts and have the assets excluded from his or her estate.</w:t>
      </w:r>
    </w:p>
    <w:p w:rsidR="004369FB" w:rsidRDefault="004369FB" w:rsidP="004369FB">
      <w:pPr>
        <w:pStyle w:val="ListParagraph"/>
      </w:pPr>
    </w:p>
    <w:p w:rsidR="004369FB" w:rsidRDefault="004369FB" w:rsidP="004369FB">
      <w:pPr>
        <w:pStyle w:val="ListParagraph"/>
        <w:numPr>
          <w:ilvl w:val="2"/>
          <w:numId w:val="18"/>
        </w:numPr>
        <w:spacing w:after="0" w:line="240" w:lineRule="auto"/>
      </w:pPr>
      <w:r>
        <w:t>It should also be possible to leverage the gift made to the trust by having the trustee purchase a life insurance policy on the life of the grantor with the proceeds gifted to the trust.  This will essentially allow the grantor to still benefit from the cash value contained in the policy (at the discretion of the trustee) and have the death benefit excluded from the grantor’s estate upon his or her death.</w:t>
      </w:r>
    </w:p>
    <w:p w:rsidR="002515AD" w:rsidRDefault="002515AD" w:rsidP="002515AD">
      <w:pPr>
        <w:pStyle w:val="ListParagraph"/>
      </w:pPr>
    </w:p>
    <w:p w:rsidR="002515AD" w:rsidRPr="002515AD" w:rsidRDefault="004369FB" w:rsidP="002515AD">
      <w:pPr>
        <w:pStyle w:val="ListParagraph"/>
        <w:numPr>
          <w:ilvl w:val="0"/>
          <w:numId w:val="18"/>
        </w:numPr>
        <w:spacing w:after="0" w:line="240" w:lineRule="auto"/>
      </w:pPr>
      <w:r>
        <w:rPr>
          <w:b/>
        </w:rPr>
        <w:t xml:space="preserve"> </w:t>
      </w:r>
      <w:r w:rsidR="002515AD">
        <w:rPr>
          <w:b/>
        </w:rPr>
        <w:t>Incomplete Gift Non-Grantor Trusts.</w:t>
      </w:r>
    </w:p>
    <w:p w:rsidR="002515AD" w:rsidRPr="002515AD" w:rsidRDefault="002515AD" w:rsidP="002515AD">
      <w:pPr>
        <w:pStyle w:val="ListParagraph"/>
        <w:spacing w:after="0" w:line="240" w:lineRule="auto"/>
        <w:ind w:left="360"/>
      </w:pPr>
    </w:p>
    <w:p w:rsidR="002515AD" w:rsidRDefault="002515AD" w:rsidP="002515AD">
      <w:pPr>
        <w:pStyle w:val="ListParagraph"/>
        <w:spacing w:after="0" w:line="240" w:lineRule="auto"/>
        <w:ind w:left="0" w:firstLine="720"/>
      </w:pPr>
      <w:r>
        <w:t>It is possible for a grantor to establish a trust in a jurisdiction that allows for the creation of self-settled asset protection trusts, retain a beneficial interest in the trust and have the trust treated as a non-grantor trust for income tax purposes.  Typically the grantor will also want the trust to be an incomplete gift for transfer tax purposes.  In Delaware we refer to these trusts as DING trusts.  The acronym stands for Delaware Incomplete Gift Non-Grantor trust.</w:t>
      </w:r>
    </w:p>
    <w:p w:rsidR="002515AD" w:rsidRPr="002515AD" w:rsidRDefault="002515AD" w:rsidP="002515AD">
      <w:pPr>
        <w:pStyle w:val="ListParagraph"/>
        <w:spacing w:after="0" w:line="240" w:lineRule="auto"/>
        <w:ind w:left="360"/>
      </w:pPr>
    </w:p>
    <w:p w:rsidR="002515AD" w:rsidRPr="002515AD" w:rsidRDefault="002515AD" w:rsidP="002515AD">
      <w:pPr>
        <w:pStyle w:val="ListParagraph"/>
        <w:numPr>
          <w:ilvl w:val="1"/>
          <w:numId w:val="18"/>
        </w:numPr>
        <w:spacing w:after="0" w:line="240" w:lineRule="auto"/>
      </w:pPr>
      <w:r>
        <w:rPr>
          <w:b/>
        </w:rPr>
        <w:t>Tax Structure of Trust.</w:t>
      </w:r>
    </w:p>
    <w:p w:rsidR="002515AD" w:rsidRDefault="002515AD" w:rsidP="002515AD">
      <w:pPr>
        <w:pStyle w:val="ListParagraph"/>
        <w:spacing w:after="0" w:line="240" w:lineRule="auto"/>
      </w:pPr>
    </w:p>
    <w:p w:rsidR="002515AD" w:rsidRDefault="002515AD" w:rsidP="002515AD">
      <w:pPr>
        <w:pStyle w:val="ListParagraph"/>
        <w:numPr>
          <w:ilvl w:val="2"/>
          <w:numId w:val="18"/>
        </w:numPr>
        <w:spacing w:after="0" w:line="240" w:lineRule="auto"/>
      </w:pPr>
      <w:r>
        <w:t>Section 677(a)(3) of the IRC provides that the grantor sha</w:t>
      </w:r>
      <w:r w:rsidR="004369FB">
        <w:t>ll be treated as the owner of a</w:t>
      </w:r>
      <w:r>
        <w:t xml:space="preserve"> trust for income tax purposes if trust income, without the approval or consent of any adverse party, may be distributed to the grantor or the grantor’s spouse.  IRC § 677(a</w:t>
      </w:r>
      <w:proofErr w:type="gramStart"/>
      <w:r>
        <w:t>)(</w:t>
      </w:r>
      <w:proofErr w:type="gramEnd"/>
      <w:r>
        <w:t>3).  Therefore, in order for the trust to be a non-grantor trust for income tax purposes, the consent of an adverse party must be obtained prior to distributing assets to the grantor or the grantor’s spouse.</w:t>
      </w:r>
    </w:p>
    <w:p w:rsidR="002515AD" w:rsidRDefault="002515AD" w:rsidP="002515AD">
      <w:pPr>
        <w:pStyle w:val="ListParagraph"/>
        <w:spacing w:after="0" w:line="240" w:lineRule="auto"/>
        <w:ind w:left="1080"/>
      </w:pPr>
    </w:p>
    <w:p w:rsidR="002515AD" w:rsidRDefault="002515AD" w:rsidP="002515AD">
      <w:pPr>
        <w:pStyle w:val="ListParagraph"/>
        <w:numPr>
          <w:ilvl w:val="2"/>
          <w:numId w:val="18"/>
        </w:numPr>
        <w:spacing w:after="0" w:line="240" w:lineRule="auto"/>
      </w:pPr>
      <w:r>
        <w:t>The trust also must be created in a jurisdiction which allows for self-settled asset protection trusts because if creditors of the grantor can reach the trust assets the trust</w:t>
      </w:r>
      <w:r w:rsidR="00441190">
        <w:t xml:space="preserve"> </w:t>
      </w:r>
      <w:r>
        <w:t>will be a grantor trust.  Treas. Reg. § 1.677(a)-1(d).</w:t>
      </w:r>
    </w:p>
    <w:p w:rsidR="002515AD" w:rsidRDefault="002515AD" w:rsidP="002515AD">
      <w:pPr>
        <w:pStyle w:val="ListParagraph"/>
      </w:pPr>
    </w:p>
    <w:p w:rsidR="002515AD" w:rsidRDefault="002515AD" w:rsidP="002515AD">
      <w:pPr>
        <w:pStyle w:val="ListParagraph"/>
        <w:numPr>
          <w:ilvl w:val="2"/>
          <w:numId w:val="18"/>
        </w:numPr>
        <w:spacing w:after="0" w:line="240" w:lineRule="auto"/>
      </w:pPr>
      <w:r>
        <w:t xml:space="preserve">The trust is structured as an incomplete gift for federal gift tax purposes </w:t>
      </w:r>
      <w:r w:rsidR="0048061C">
        <w:t>through the grantor’s retention of a</w:t>
      </w:r>
      <w:r>
        <w:t xml:space="preserve"> testamentary limited power of appointment over the trust</w:t>
      </w:r>
      <w:r w:rsidR="00441190">
        <w:t xml:space="preserve"> and through the grantor’s retention of a veto power whereby a distribution directed by any </w:t>
      </w:r>
      <w:r w:rsidR="00441190">
        <w:lastRenderedPageBreak/>
        <w:t>one member of the distribution committee (as explained in more detail below) must be approved by the grantor</w:t>
      </w:r>
      <w:r>
        <w:t>.  Treas. Reg. § 25.2511-2(b).</w:t>
      </w:r>
    </w:p>
    <w:p w:rsidR="002515AD" w:rsidRDefault="002515AD" w:rsidP="002515AD">
      <w:pPr>
        <w:pStyle w:val="ListParagraph"/>
      </w:pPr>
    </w:p>
    <w:p w:rsidR="002515AD" w:rsidRPr="002515AD" w:rsidRDefault="002515AD" w:rsidP="002515AD">
      <w:pPr>
        <w:pStyle w:val="ListParagraph"/>
        <w:numPr>
          <w:ilvl w:val="1"/>
          <w:numId w:val="18"/>
        </w:numPr>
        <w:spacing w:after="0" w:line="240" w:lineRule="auto"/>
      </w:pPr>
      <w:r>
        <w:rPr>
          <w:b/>
        </w:rPr>
        <w:t>The Private Letter Ruling</w:t>
      </w:r>
      <w:r w:rsidR="00364A72">
        <w:rPr>
          <w:b/>
        </w:rPr>
        <w:t>s</w:t>
      </w:r>
      <w:r>
        <w:rPr>
          <w:b/>
        </w:rPr>
        <w:t>.</w:t>
      </w:r>
    </w:p>
    <w:p w:rsidR="002515AD" w:rsidRDefault="002515AD" w:rsidP="002515AD">
      <w:pPr>
        <w:pStyle w:val="ListParagraph"/>
        <w:spacing w:after="0" w:line="240" w:lineRule="auto"/>
      </w:pPr>
    </w:p>
    <w:p w:rsidR="002515AD" w:rsidRDefault="002515AD" w:rsidP="002515AD">
      <w:pPr>
        <w:pStyle w:val="ListParagraph"/>
        <w:numPr>
          <w:ilvl w:val="2"/>
          <w:numId w:val="18"/>
        </w:numPr>
        <w:spacing w:after="0" w:line="240" w:lineRule="auto"/>
      </w:pPr>
      <w:r>
        <w:t>Several Private Letter Rulings</w:t>
      </w:r>
      <w:r w:rsidR="0048061C">
        <w:t xml:space="preserve"> (the “PLRs”)</w:t>
      </w:r>
      <w:r>
        <w:t xml:space="preserve"> confirm that under Delaware law a grantor can create a non-grantor trust, fund the trust with contributions that are not considered taxable gifts for federal gift tax purposes and still retain the right to receive discretionary distributions of trust income and principal from the trust.  See PLR 200715005; PLR 200647001; PLR 200637025; PLR 200612002; and PLR 200502014.</w:t>
      </w:r>
    </w:p>
    <w:p w:rsidR="002515AD" w:rsidRDefault="002515AD" w:rsidP="002515AD">
      <w:pPr>
        <w:pStyle w:val="ListParagraph"/>
        <w:spacing w:after="0" w:line="240" w:lineRule="auto"/>
        <w:ind w:left="1080"/>
      </w:pPr>
    </w:p>
    <w:p w:rsidR="002515AD" w:rsidRDefault="002515AD" w:rsidP="002515AD">
      <w:pPr>
        <w:pStyle w:val="ListParagraph"/>
        <w:numPr>
          <w:ilvl w:val="2"/>
          <w:numId w:val="18"/>
        </w:numPr>
        <w:spacing w:after="0" w:line="240" w:lineRule="auto"/>
      </w:pPr>
      <w:r>
        <w:t>In the PLRs, the grantor created a discretionary trust for the benefit of the grantor and others (the “permissible beneficiaries”).  A Delaware corporate trustee is appointed as sole trustee of the trust.</w:t>
      </w:r>
    </w:p>
    <w:p w:rsidR="002515AD" w:rsidRDefault="002515AD" w:rsidP="002515AD">
      <w:pPr>
        <w:pStyle w:val="ListParagraph"/>
      </w:pPr>
    </w:p>
    <w:p w:rsidR="002515AD" w:rsidRDefault="002515AD" w:rsidP="002515AD">
      <w:pPr>
        <w:pStyle w:val="ListParagraph"/>
        <w:numPr>
          <w:ilvl w:val="2"/>
          <w:numId w:val="18"/>
        </w:numPr>
        <w:spacing w:after="0" w:line="240" w:lineRule="auto"/>
      </w:pPr>
      <w:r>
        <w:t xml:space="preserve">A committee (the “Distribution Committee”) consisting of two of the permissible beneficiaries of the trust, has the power, by unanimous consent, to direct the trustee to distribute trust assets to or among the permissible beneficiaries.  In addition, </w:t>
      </w:r>
      <w:r w:rsidR="00441190">
        <w:t xml:space="preserve">any </w:t>
      </w:r>
      <w:r>
        <w:t>one member of the Distrib</w:t>
      </w:r>
      <w:r w:rsidR="004A1C5C">
        <w:t>ution Committee</w:t>
      </w:r>
      <w:r w:rsidR="00441190">
        <w:t>, with the consent of the grantor, may</w:t>
      </w:r>
      <w:r w:rsidR="004A1C5C">
        <w:t xml:space="preserve"> direct the trustee to make distributions.  If a member of the Distribution Committee resigns or otherwise ceases to serve, a permissible beneficiary other than the grantor or the grantor’s spouse is appointed as a successor Distribution Committee member.</w:t>
      </w:r>
    </w:p>
    <w:p w:rsidR="004A1C5C" w:rsidRDefault="004A1C5C" w:rsidP="004A1C5C">
      <w:pPr>
        <w:pStyle w:val="ListParagraph"/>
      </w:pPr>
    </w:p>
    <w:p w:rsidR="004A1C5C" w:rsidRDefault="004A1C5C" w:rsidP="002515AD">
      <w:pPr>
        <w:pStyle w:val="ListParagraph"/>
        <w:numPr>
          <w:ilvl w:val="2"/>
          <w:numId w:val="18"/>
        </w:numPr>
        <w:spacing w:after="0" w:line="240" w:lineRule="auto"/>
      </w:pPr>
      <w:r>
        <w:t>The grantor retains a limited testamentary power of appointment over the trust assets to appoint the remaining trust assets to any person or organization other than the grantor, the grantor’s estate, the grantor’s creditors or the creditors of the grantor’s estate.</w:t>
      </w:r>
    </w:p>
    <w:p w:rsidR="004A1C5C" w:rsidRDefault="004A1C5C" w:rsidP="004A1C5C">
      <w:pPr>
        <w:pStyle w:val="ListParagraph"/>
      </w:pPr>
    </w:p>
    <w:p w:rsidR="004A1C5C" w:rsidRDefault="004A1C5C" w:rsidP="002515AD">
      <w:pPr>
        <w:pStyle w:val="ListParagraph"/>
        <w:numPr>
          <w:ilvl w:val="2"/>
          <w:numId w:val="18"/>
        </w:numPr>
        <w:spacing w:after="0" w:line="240" w:lineRule="auto"/>
      </w:pPr>
      <w:r>
        <w:t>The P</w:t>
      </w:r>
      <w:r w:rsidR="0048061C">
        <w:t>LR</w:t>
      </w:r>
      <w:r>
        <w:t>s conclude that the grantor has not made a completed gift upon establishment of the trust due to the retention of the grantor’s limited testamentary power of appointment over the trust assets.  However, the grantor will be treated as making a taxable gift when a trust distribution is made to someone other than the grantor.</w:t>
      </w:r>
    </w:p>
    <w:p w:rsidR="004A1C5C" w:rsidRDefault="004A1C5C" w:rsidP="004A1C5C">
      <w:pPr>
        <w:pStyle w:val="ListParagraph"/>
      </w:pPr>
    </w:p>
    <w:p w:rsidR="004A1C5C" w:rsidRDefault="004A1C5C" w:rsidP="002515AD">
      <w:pPr>
        <w:pStyle w:val="ListParagraph"/>
        <w:numPr>
          <w:ilvl w:val="2"/>
          <w:numId w:val="18"/>
        </w:numPr>
        <w:spacing w:after="0" w:line="240" w:lineRule="auto"/>
      </w:pPr>
      <w:r>
        <w:t>The P</w:t>
      </w:r>
      <w:r w:rsidR="0048061C">
        <w:t>LR</w:t>
      </w:r>
      <w:r>
        <w:t>s also conclude that the Distribution Committee members have a substantial adverse interest to each other for purposes of Section 2514 of the IRC and therefore do not possess general powers of appointment over the trust.  See IRC § 2514(c</w:t>
      </w:r>
      <w:proofErr w:type="gramStart"/>
      <w:r>
        <w:t>)(</w:t>
      </w:r>
      <w:proofErr w:type="gramEnd"/>
      <w:r>
        <w:t>3)(B).</w:t>
      </w:r>
    </w:p>
    <w:p w:rsidR="004A1C5C" w:rsidRDefault="004A1C5C" w:rsidP="004A1C5C">
      <w:pPr>
        <w:pStyle w:val="ListParagraph"/>
      </w:pPr>
    </w:p>
    <w:p w:rsidR="004A1C5C" w:rsidRPr="004A1C5C" w:rsidRDefault="0048061C" w:rsidP="004A1C5C">
      <w:pPr>
        <w:pStyle w:val="ListParagraph"/>
        <w:numPr>
          <w:ilvl w:val="1"/>
          <w:numId w:val="18"/>
        </w:numPr>
        <w:spacing w:after="0" w:line="240" w:lineRule="auto"/>
      </w:pPr>
      <w:r>
        <w:rPr>
          <w:b/>
        </w:rPr>
        <w:t>IR-2007-127 (the “2007 Notice”)</w:t>
      </w:r>
      <w:r w:rsidR="004A1C5C">
        <w:rPr>
          <w:b/>
        </w:rPr>
        <w:t>.</w:t>
      </w:r>
    </w:p>
    <w:p w:rsidR="004A1C5C" w:rsidRDefault="004A1C5C" w:rsidP="004A1C5C">
      <w:pPr>
        <w:pStyle w:val="ListParagraph"/>
        <w:spacing w:after="0" w:line="240" w:lineRule="auto"/>
      </w:pPr>
    </w:p>
    <w:p w:rsidR="004A1C5C" w:rsidRDefault="004A1C5C" w:rsidP="004A1C5C">
      <w:pPr>
        <w:pStyle w:val="ListParagraph"/>
        <w:numPr>
          <w:ilvl w:val="2"/>
          <w:numId w:val="18"/>
        </w:numPr>
        <w:spacing w:after="0" w:line="240" w:lineRule="auto"/>
      </w:pPr>
      <w:r>
        <w:t>In 2007 the IRS issued a notice calling into question the gift tax consequences to the members of the Distribution Committee.  See IR-2007-127.</w:t>
      </w:r>
    </w:p>
    <w:p w:rsidR="004A1C5C" w:rsidRDefault="004A1C5C" w:rsidP="004A1C5C">
      <w:pPr>
        <w:pStyle w:val="ListParagraph"/>
        <w:spacing w:after="0" w:line="240" w:lineRule="auto"/>
        <w:ind w:left="1080"/>
      </w:pPr>
    </w:p>
    <w:p w:rsidR="00441190" w:rsidRDefault="004A1C5C" w:rsidP="000C714A">
      <w:pPr>
        <w:pStyle w:val="ListParagraph"/>
        <w:numPr>
          <w:ilvl w:val="2"/>
          <w:numId w:val="18"/>
        </w:numPr>
        <w:spacing w:after="0" w:line="240" w:lineRule="auto"/>
      </w:pPr>
      <w:r>
        <w:lastRenderedPageBreak/>
        <w:t>The 2007 Notice stated that the conclusions reached in the PLRs with respect to the gift tax consequences of the Distribution Committee members may not be consistent with Revenue Ruling 76-503 and Revenue Ruling 77-158 (the “Revenue Rulings”).  See Rev. Rul. 76-503 and Rev. Rul. 77-158.</w:t>
      </w:r>
    </w:p>
    <w:p w:rsidR="000C714A" w:rsidRPr="000C714A" w:rsidRDefault="000C714A" w:rsidP="000C714A">
      <w:pPr>
        <w:pStyle w:val="ListParagraph"/>
        <w:spacing w:after="0" w:line="240" w:lineRule="auto"/>
        <w:ind w:left="1080"/>
      </w:pPr>
    </w:p>
    <w:p w:rsidR="004A1C5C" w:rsidRPr="004A1C5C" w:rsidRDefault="004A1C5C" w:rsidP="004A1C5C">
      <w:pPr>
        <w:pStyle w:val="ListParagraph"/>
        <w:numPr>
          <w:ilvl w:val="1"/>
          <w:numId w:val="18"/>
        </w:numPr>
        <w:spacing w:after="0" w:line="240" w:lineRule="auto"/>
      </w:pPr>
      <w:r>
        <w:rPr>
          <w:b/>
        </w:rPr>
        <w:t>The Revenue Ruling</w:t>
      </w:r>
      <w:r w:rsidR="0048061C">
        <w:rPr>
          <w:b/>
        </w:rPr>
        <w:t>s</w:t>
      </w:r>
      <w:r>
        <w:rPr>
          <w:b/>
        </w:rPr>
        <w:t>.</w:t>
      </w:r>
    </w:p>
    <w:p w:rsidR="004A1C5C" w:rsidRDefault="004A1C5C" w:rsidP="004A1C5C">
      <w:pPr>
        <w:pStyle w:val="ListParagraph"/>
        <w:spacing w:after="0" w:line="240" w:lineRule="auto"/>
      </w:pPr>
    </w:p>
    <w:p w:rsidR="004A1C5C" w:rsidRDefault="004A1C5C" w:rsidP="004A1C5C">
      <w:pPr>
        <w:pStyle w:val="ListParagraph"/>
        <w:numPr>
          <w:ilvl w:val="2"/>
          <w:numId w:val="18"/>
        </w:numPr>
        <w:spacing w:after="0" w:line="240" w:lineRule="auto"/>
      </w:pPr>
      <w:r>
        <w:t xml:space="preserve">The Revenue Rulings have facts that are identical.  In the </w:t>
      </w:r>
      <w:r w:rsidR="0048061C">
        <w:t>R</w:t>
      </w:r>
      <w:r>
        <w:t xml:space="preserve">evenue </w:t>
      </w:r>
      <w:r w:rsidR="0048061C">
        <w:t>R</w:t>
      </w:r>
      <w:r>
        <w:t>ulings, three siblings, A, B and C owning equal one-third interest</w:t>
      </w:r>
      <w:r w:rsidR="0048061C">
        <w:t>s</w:t>
      </w:r>
      <w:r>
        <w:t xml:space="preserve"> in their family business contribute their respect interests in the business to an irrevocable trust for the benefit of their descendants.  The trust permits the trustees to distribute trust property to whomever they select, including themselves, in such proportions and at such times as they see fit.  Each trustee has the ability to designate one of the trustee’s relatives to serve as successor trustee upon the trustee’s death or resignation.  In the event a trustee fails to designate a successor, the oldest adult living descendant of a deceased or resigned trustee is to occupy the vacant trustee position.</w:t>
      </w:r>
    </w:p>
    <w:p w:rsidR="004A1C5C" w:rsidRDefault="004A1C5C" w:rsidP="004A1C5C">
      <w:pPr>
        <w:pStyle w:val="ListParagraph"/>
        <w:spacing w:after="0" w:line="240" w:lineRule="auto"/>
        <w:ind w:left="1080"/>
      </w:pPr>
    </w:p>
    <w:p w:rsidR="004A1C5C" w:rsidRDefault="004A1C5C" w:rsidP="004A1C5C">
      <w:pPr>
        <w:pStyle w:val="ListParagraph"/>
        <w:numPr>
          <w:ilvl w:val="2"/>
          <w:numId w:val="18"/>
        </w:numPr>
        <w:spacing w:after="0" w:line="240" w:lineRule="auto"/>
      </w:pPr>
      <w:r>
        <w:t>The decedent, D, was selected by A to be one of three original trustees and D served in that position until D’s death.</w:t>
      </w:r>
    </w:p>
    <w:p w:rsidR="004A1C5C" w:rsidRDefault="004A1C5C" w:rsidP="004A1C5C">
      <w:pPr>
        <w:pStyle w:val="ListParagraph"/>
      </w:pPr>
    </w:p>
    <w:p w:rsidR="005D0A77" w:rsidRDefault="004A1C5C" w:rsidP="004A1C5C">
      <w:pPr>
        <w:pStyle w:val="ListParagraph"/>
        <w:numPr>
          <w:ilvl w:val="2"/>
          <w:numId w:val="18"/>
        </w:numPr>
        <w:spacing w:after="0" w:line="240" w:lineRule="auto"/>
      </w:pPr>
      <w:r>
        <w:t xml:space="preserve">The Revenue Rulings address whether any of the trust assets are includible in D’s gross estate under Section 2041 of the IRC under the view that D had a general power of appointment over the trust assets held jointly with the other two co-trustees.  The Revenue Rulings conclude that one-third (1/3) of the value of the trust as of the date of D’s death is includible in D’s gross estate under Section 2041 of the </w:t>
      </w:r>
      <w:r w:rsidR="0048061C">
        <w:t>IRC</w:t>
      </w:r>
      <w:r>
        <w:t xml:space="preserve"> as property subject to a general power of appointment.  In reaching the conclusion the Revenue Rulings focused on the l</w:t>
      </w:r>
      <w:r w:rsidR="0048061C">
        <w:t>anguage of Section 2041 of the IRC.  Section 2041(b) of the IRC</w:t>
      </w:r>
      <w:r>
        <w:t xml:space="preserve"> sets forth the definition for a general power of appointment.  Section 2041(b)(1)(C)(ii) of the IRC provides that a power that is not exercisable by the decedent except in conjunction with a person having a substantial adverse interest in the property subject to the power is not a general power of appointment.  IRC § 2041</w:t>
      </w:r>
      <w:r w:rsidR="005D0A77">
        <w:t>(b</w:t>
      </w:r>
      <w:proofErr w:type="gramStart"/>
      <w:r w:rsidR="005D0A77">
        <w:t>)(</w:t>
      </w:r>
      <w:proofErr w:type="gramEnd"/>
      <w:r w:rsidR="005D0A77">
        <w:t>1)(C)(2).</w:t>
      </w:r>
    </w:p>
    <w:p w:rsidR="005D0A77" w:rsidRDefault="005D0A77" w:rsidP="005D0A77">
      <w:pPr>
        <w:pStyle w:val="ListParagraph"/>
      </w:pPr>
    </w:p>
    <w:p w:rsidR="005D0A77" w:rsidRDefault="005D0A77" w:rsidP="004A1C5C">
      <w:pPr>
        <w:pStyle w:val="ListParagraph"/>
        <w:numPr>
          <w:ilvl w:val="2"/>
          <w:numId w:val="18"/>
        </w:numPr>
        <w:spacing w:after="0" w:line="240" w:lineRule="auto"/>
      </w:pPr>
      <w:r>
        <w:t>The Revenue Rulings determined that the Section 2041(b</w:t>
      </w:r>
      <w:proofErr w:type="gramStart"/>
      <w:r>
        <w:t>)(</w:t>
      </w:r>
      <w:proofErr w:type="gramEnd"/>
      <w:r>
        <w:t>1)(C)(ii) safe harbor did not apply to D because the remaining co-trustees did not have a substantial adverse interest to D.  The terms of the trust provide that upon D’s death a successor trustee is to be appointed in D’s place.  The remaining co-trustees do not receive the entire power of appointment upon D’s death.  Instead, the surviving co-trustees must continue to share the power with D’s replacement.  The Revenue Rulings determined that this does not put the surviving co-trustees in a better economic position after D’s death and as such their interest is not substantially adverse to D.</w:t>
      </w:r>
    </w:p>
    <w:p w:rsidR="005D0A77" w:rsidRDefault="005D0A77" w:rsidP="005D0A77">
      <w:pPr>
        <w:pStyle w:val="ListParagraph"/>
      </w:pPr>
    </w:p>
    <w:p w:rsidR="004A1C5C" w:rsidRDefault="005D0A77" w:rsidP="004A1C5C">
      <w:pPr>
        <w:pStyle w:val="ListParagraph"/>
        <w:numPr>
          <w:ilvl w:val="2"/>
          <w:numId w:val="18"/>
        </w:numPr>
        <w:spacing w:after="0" w:line="240" w:lineRule="auto"/>
      </w:pPr>
      <w:r>
        <w:t>In reaching this conclusion, the Revenue Rulings also focus on the regulations under Section 2041</w:t>
      </w:r>
      <w:r w:rsidR="0048061C">
        <w:t xml:space="preserve"> of the IRC</w:t>
      </w:r>
      <w:r>
        <w:t>.  See Treas. Reg. § 20.041-3(c</w:t>
      </w:r>
      <w:proofErr w:type="gramStart"/>
      <w:r>
        <w:t>)(</w:t>
      </w:r>
      <w:proofErr w:type="gramEnd"/>
      <w:r>
        <w:t xml:space="preserve">2) and (3).  The Revenue Rulings state that had the trust been drafted so that upon D’s death </w:t>
      </w:r>
      <w:r w:rsidR="0048061C">
        <w:t>the power of appointment would v</w:t>
      </w:r>
      <w:r>
        <w:t xml:space="preserve">est solely in the remaining co-trustees, the co-trustees’ interests </w:t>
      </w:r>
      <w:r>
        <w:lastRenderedPageBreak/>
        <w:t>would be substantially adverse to that of D and D would not have a general power of appointment resulting in the inclusion of one-third (1/3) of the trust assets in D’s estate under Section 2041</w:t>
      </w:r>
      <w:r w:rsidR="0048061C">
        <w:t xml:space="preserve"> of the IRC</w:t>
      </w:r>
      <w:r>
        <w:t>.</w:t>
      </w:r>
    </w:p>
    <w:p w:rsidR="005D0A77" w:rsidRDefault="005D0A77" w:rsidP="005D0A77">
      <w:pPr>
        <w:pStyle w:val="ListParagraph"/>
      </w:pPr>
    </w:p>
    <w:p w:rsidR="005D0A77" w:rsidRPr="005D0A77" w:rsidRDefault="005D0A77" w:rsidP="005D0A77">
      <w:pPr>
        <w:pStyle w:val="ListParagraph"/>
        <w:numPr>
          <w:ilvl w:val="1"/>
          <w:numId w:val="18"/>
        </w:numPr>
        <w:spacing w:after="0" w:line="240" w:lineRule="auto"/>
      </w:pPr>
      <w:r>
        <w:rPr>
          <w:b/>
        </w:rPr>
        <w:t>Comparing the PLRs to the Revenue Rulings.</w:t>
      </w:r>
    </w:p>
    <w:p w:rsidR="005D0A77" w:rsidRDefault="005D0A77" w:rsidP="005D0A77">
      <w:pPr>
        <w:pStyle w:val="ListParagraph"/>
        <w:spacing w:after="0" w:line="240" w:lineRule="auto"/>
      </w:pPr>
    </w:p>
    <w:p w:rsidR="005D0A77" w:rsidRDefault="005D0A77" w:rsidP="005D0A77">
      <w:pPr>
        <w:pStyle w:val="ListParagraph"/>
        <w:numPr>
          <w:ilvl w:val="2"/>
          <w:numId w:val="18"/>
        </w:numPr>
        <w:spacing w:after="0" w:line="240" w:lineRule="auto"/>
      </w:pPr>
      <w:r>
        <w:t>The P</w:t>
      </w:r>
      <w:r w:rsidR="0048061C">
        <w:t>LR</w:t>
      </w:r>
      <w:r>
        <w:t>s are similar to the Revenue Rulings in that upon the resignation of any Distribution Committee member, a permissible beneficiary is to be appointed as a successor Distribution Committee member in place of the resigning Distribution Committee member.  Therefore, the distribution power does not vest in the remaining Distribution Committee members but instead must be shared with a successor Distribution Committee member.  This does not put the remaining Distribution Committee members in a better economic position after the resignation of a Distribution Committee member.</w:t>
      </w:r>
    </w:p>
    <w:p w:rsidR="005D0A77" w:rsidRDefault="005D0A77" w:rsidP="005D0A77">
      <w:pPr>
        <w:pStyle w:val="ListParagraph"/>
        <w:spacing w:after="0" w:line="240" w:lineRule="auto"/>
        <w:ind w:left="1080"/>
      </w:pPr>
    </w:p>
    <w:p w:rsidR="005D0A77" w:rsidRDefault="005D0A77" w:rsidP="005D0A77">
      <w:pPr>
        <w:pStyle w:val="ListParagraph"/>
        <w:numPr>
          <w:ilvl w:val="2"/>
          <w:numId w:val="18"/>
        </w:numPr>
        <w:spacing w:after="0" w:line="240" w:lineRule="auto"/>
      </w:pPr>
      <w:r>
        <w:t>However, there is an important fact which distinguishes the P</w:t>
      </w:r>
      <w:r w:rsidR="0048061C">
        <w:t>LR</w:t>
      </w:r>
      <w:r>
        <w:t>s from the Revenue Rulings.  The P</w:t>
      </w:r>
      <w:r w:rsidR="0048061C">
        <w:t>LR</w:t>
      </w:r>
      <w:r>
        <w:t>s conclude that the transfer to the trust by the grantor is an incomplete gift and that a distribution from the trust to any person other than the grantor would be a completed gift.  In the Revenue Rulings, A, B and C irrevocably transferred their interests in the family business to the trust upon its creation at which time they made a taxable gift to the trust.  Distributions from the trust to the beneficiaries would not be considered taxable gifts by A, B or C.</w:t>
      </w:r>
    </w:p>
    <w:p w:rsidR="005D0A77" w:rsidRDefault="005D0A77" w:rsidP="005D0A77">
      <w:pPr>
        <w:pStyle w:val="ListParagraph"/>
      </w:pPr>
    </w:p>
    <w:p w:rsidR="005D0A77" w:rsidRDefault="005D0A77" w:rsidP="005D0A77">
      <w:pPr>
        <w:pStyle w:val="ListParagraph"/>
        <w:numPr>
          <w:ilvl w:val="2"/>
          <w:numId w:val="18"/>
        </w:numPr>
        <w:spacing w:after="0" w:line="240" w:lineRule="auto"/>
      </w:pPr>
      <w:r>
        <w:t>If the rationale of the Revenue Rulings were applied to the P</w:t>
      </w:r>
      <w:r w:rsidR="0048061C">
        <w:t>LRs</w:t>
      </w:r>
      <w:r>
        <w:t xml:space="preserve">, distributions from the trust would constitute completed gifts by the Distribution Committee members.  This would produce unprecedented gift tax results.  For instance, a distribution from the </w:t>
      </w:r>
      <w:r w:rsidR="00566477">
        <w:t>trust to the grantor would constitute a taxable gift to the grantor of property which the grantor is already treated for federal transfer tax pur</w:t>
      </w:r>
      <w:r w:rsidR="0048061C">
        <w:t xml:space="preserve">poses as owning.  Furthermore, </w:t>
      </w:r>
      <w:r w:rsidR="00566477">
        <w:t>a distribution to any other person besides the grantor would constitute a taxable gift of the same property to the same person at the same time by both the grantor and the Distribution Committee members.</w:t>
      </w:r>
    </w:p>
    <w:p w:rsidR="00566477" w:rsidRDefault="00566477" w:rsidP="00566477">
      <w:pPr>
        <w:pStyle w:val="ListParagraph"/>
      </w:pPr>
    </w:p>
    <w:p w:rsidR="00441190" w:rsidRPr="00441190" w:rsidRDefault="00441190" w:rsidP="00566477">
      <w:pPr>
        <w:pStyle w:val="ListParagraph"/>
        <w:numPr>
          <w:ilvl w:val="1"/>
          <w:numId w:val="18"/>
        </w:numPr>
        <w:spacing w:after="0" w:line="240" w:lineRule="auto"/>
      </w:pPr>
      <w:r>
        <w:rPr>
          <w:b/>
        </w:rPr>
        <w:t>Recent Rulings Affecting Use of DING Trusts</w:t>
      </w:r>
    </w:p>
    <w:p w:rsidR="00441190" w:rsidRPr="00441190" w:rsidRDefault="00441190" w:rsidP="00441190">
      <w:pPr>
        <w:pStyle w:val="ListParagraph"/>
        <w:spacing w:after="0" w:line="240" w:lineRule="auto"/>
      </w:pPr>
    </w:p>
    <w:p w:rsidR="00441190" w:rsidRDefault="00441190" w:rsidP="00441190">
      <w:pPr>
        <w:pStyle w:val="ListParagraph"/>
        <w:numPr>
          <w:ilvl w:val="2"/>
          <w:numId w:val="18"/>
        </w:numPr>
        <w:spacing w:after="0" w:line="240" w:lineRule="auto"/>
        <w:rPr>
          <w:b/>
        </w:rPr>
      </w:pPr>
      <w:r w:rsidRPr="00441190">
        <w:rPr>
          <w:b/>
        </w:rPr>
        <w:t>CCA</w:t>
      </w:r>
      <w:r w:rsidR="00364A72">
        <w:rPr>
          <w:b/>
        </w:rPr>
        <w:t xml:space="preserve"> </w:t>
      </w:r>
      <w:r w:rsidRPr="00441190">
        <w:rPr>
          <w:b/>
        </w:rPr>
        <w:t>201208026</w:t>
      </w:r>
      <w:r w:rsidR="00364A72">
        <w:rPr>
          <w:b/>
        </w:rPr>
        <w:t xml:space="preserve"> (the “CCA”)</w:t>
      </w:r>
      <w:r w:rsidRPr="00441190">
        <w:rPr>
          <w:b/>
        </w:rPr>
        <w:t>.</w:t>
      </w:r>
    </w:p>
    <w:p w:rsidR="00441190" w:rsidRPr="00441190" w:rsidRDefault="00441190" w:rsidP="00441190">
      <w:pPr>
        <w:pStyle w:val="ListParagraph"/>
        <w:spacing w:after="0" w:line="240" w:lineRule="auto"/>
        <w:ind w:left="1080"/>
        <w:rPr>
          <w:b/>
        </w:rPr>
      </w:pPr>
    </w:p>
    <w:p w:rsidR="00441190" w:rsidRDefault="00441190" w:rsidP="00441190">
      <w:pPr>
        <w:pStyle w:val="ListParagraph"/>
        <w:numPr>
          <w:ilvl w:val="4"/>
          <w:numId w:val="18"/>
        </w:numPr>
        <w:spacing w:after="0" w:line="240" w:lineRule="auto"/>
      </w:pPr>
      <w:r>
        <w:t xml:space="preserve">In 2012 the IRS issued an opinion relating to the gift tax </w:t>
      </w:r>
      <w:r w:rsidR="00364A72">
        <w:t>ramifications associated with a</w:t>
      </w:r>
      <w:r>
        <w:t xml:space="preserve"> transfer</w:t>
      </w:r>
      <w:r w:rsidR="00364A72">
        <w:t xml:space="preserve"> of property</w:t>
      </w:r>
      <w:r>
        <w:t xml:space="preserve"> into a trust where the grantor retain</w:t>
      </w:r>
      <w:r w:rsidR="00364A72">
        <w:t>s</w:t>
      </w:r>
      <w:r>
        <w:t xml:space="preserve"> a testamentary limited power of appointment.</w:t>
      </w:r>
    </w:p>
    <w:p w:rsidR="00441190" w:rsidRDefault="00441190" w:rsidP="00441190">
      <w:pPr>
        <w:pStyle w:val="ListParagraph"/>
        <w:spacing w:after="0" w:line="240" w:lineRule="auto"/>
        <w:ind w:left="1800"/>
      </w:pPr>
    </w:p>
    <w:p w:rsidR="00441190" w:rsidRDefault="00441190" w:rsidP="00441190">
      <w:pPr>
        <w:pStyle w:val="ListParagraph"/>
        <w:numPr>
          <w:ilvl w:val="4"/>
          <w:numId w:val="18"/>
        </w:numPr>
        <w:spacing w:after="0" w:line="240" w:lineRule="auto"/>
      </w:pPr>
      <w:r>
        <w:t xml:space="preserve">In the trust at issue in the CCA, parents transferred property in trust with Child A as trustee.  The trust beneficiaries were Child A, Child B, </w:t>
      </w:r>
      <w:r w:rsidR="00364A72">
        <w:t>s</w:t>
      </w:r>
      <w:r>
        <w:t xml:space="preserve">pouses and other lineal descendants.  The parents reserved a testamentary limited power of appointment.  The trust provided that if the limited power of appointment was not exercised, the trust would terminate at the death of the survivor of the parents and the remaining trust assets would be distributed to Child A and </w:t>
      </w:r>
      <w:r>
        <w:lastRenderedPageBreak/>
        <w:t>Child B.  The trust provided that the trustee had the discretion to distribute</w:t>
      </w:r>
      <w:r w:rsidR="00364A72">
        <w:t xml:space="preserve"> trust assets </w:t>
      </w:r>
      <w:r>
        <w:t xml:space="preserve">to the beneficiaries for broad purposes.  </w:t>
      </w:r>
    </w:p>
    <w:p w:rsidR="00441190" w:rsidRDefault="00441190" w:rsidP="00441190">
      <w:pPr>
        <w:pStyle w:val="ListParagraph"/>
      </w:pPr>
    </w:p>
    <w:p w:rsidR="00441190" w:rsidRDefault="00441190" w:rsidP="00441190">
      <w:pPr>
        <w:pStyle w:val="ListParagraph"/>
        <w:numPr>
          <w:ilvl w:val="4"/>
          <w:numId w:val="18"/>
        </w:numPr>
        <w:spacing w:after="0" w:line="240" w:lineRule="auto"/>
      </w:pPr>
      <w:r>
        <w:t>The IRS determined that the gift into the trust should be severed into two components, the term interest and the remainder interest</w:t>
      </w:r>
      <w:r w:rsidR="00CE724C">
        <w:t>.  The IRS further determined that the term interest was not subject to change by the exercise of the parents’ retained testamentary power of appointment and therefore the gift of the term interest constituted a completed gift.</w:t>
      </w:r>
    </w:p>
    <w:p w:rsidR="00CE724C" w:rsidRDefault="00CE724C" w:rsidP="00CE724C">
      <w:pPr>
        <w:pStyle w:val="ListParagraph"/>
      </w:pPr>
    </w:p>
    <w:p w:rsidR="00CE724C" w:rsidRDefault="00CE724C" w:rsidP="00441190">
      <w:pPr>
        <w:pStyle w:val="ListParagraph"/>
        <w:numPr>
          <w:ilvl w:val="4"/>
          <w:numId w:val="18"/>
        </w:numPr>
        <w:spacing w:after="0" w:line="240" w:lineRule="auto"/>
      </w:pPr>
      <w:r>
        <w:t>The IRS did rule that the gift of the remainder interest was an incomplete gift due to the retention of the testamentary limited power of appointment, but that the gift was valued at zero (0) under Chapter 14 of the IRC meaning that the value of the gift was the full fair market value of the property transferred into the trust.</w:t>
      </w:r>
    </w:p>
    <w:p w:rsidR="00CE724C" w:rsidRDefault="00CE724C" w:rsidP="00CE724C">
      <w:pPr>
        <w:pStyle w:val="ListParagraph"/>
      </w:pPr>
    </w:p>
    <w:p w:rsidR="00CE724C" w:rsidRPr="00CE724C" w:rsidRDefault="00CE724C" w:rsidP="00CE724C">
      <w:pPr>
        <w:pStyle w:val="ListParagraph"/>
        <w:numPr>
          <w:ilvl w:val="2"/>
          <w:numId w:val="18"/>
        </w:numPr>
        <w:spacing w:after="0" w:line="240" w:lineRule="auto"/>
      </w:pPr>
      <w:r>
        <w:rPr>
          <w:b/>
        </w:rPr>
        <w:t>PLR 201310002 (the “2013 PLR”).</w:t>
      </w:r>
    </w:p>
    <w:p w:rsidR="00CE724C" w:rsidRDefault="00CE724C" w:rsidP="00CE724C">
      <w:pPr>
        <w:pStyle w:val="ListParagraph"/>
        <w:spacing w:after="0" w:line="240" w:lineRule="auto"/>
        <w:ind w:left="1080"/>
      </w:pPr>
    </w:p>
    <w:p w:rsidR="00CE724C" w:rsidRDefault="00CE724C" w:rsidP="00CE724C">
      <w:pPr>
        <w:pStyle w:val="ListParagraph"/>
        <w:numPr>
          <w:ilvl w:val="4"/>
          <w:numId w:val="18"/>
        </w:numPr>
        <w:spacing w:after="0" w:line="240" w:lineRule="auto"/>
      </w:pPr>
      <w:r>
        <w:t xml:space="preserve">In the 2013 PLR the grantor created a trust for the benefit of himself and his issue.  During the grantor’s lifetime, the trustee </w:t>
      </w:r>
      <w:r w:rsidR="00364A72">
        <w:t xml:space="preserve">is required to </w:t>
      </w:r>
      <w:r>
        <w:t xml:space="preserve">distribute such amounts of the net income and principal to the grantor and his issue as directed by the Distribution Committee and/or the grantor, as follows: </w:t>
      </w:r>
    </w:p>
    <w:p w:rsidR="00CE724C" w:rsidRDefault="00CE724C" w:rsidP="00CE724C">
      <w:pPr>
        <w:pStyle w:val="ListParagraph"/>
        <w:spacing w:after="0" w:line="240" w:lineRule="auto"/>
        <w:ind w:left="1800"/>
      </w:pPr>
    </w:p>
    <w:p w:rsidR="00CE724C" w:rsidRDefault="00CE724C" w:rsidP="00CE724C">
      <w:pPr>
        <w:pStyle w:val="ListParagraph"/>
        <w:numPr>
          <w:ilvl w:val="5"/>
          <w:numId w:val="18"/>
        </w:numPr>
        <w:spacing w:after="0" w:line="240" w:lineRule="auto"/>
        <w:ind w:left="2250" w:hanging="450"/>
      </w:pPr>
      <w:r>
        <w:t>At any time, the trustee, pursuant to a direction of a majority of the Distribution Committee members, with the written consent of the grantor</w:t>
      </w:r>
      <w:r w:rsidR="00364A72">
        <w:t>,</w:t>
      </w:r>
      <w:r>
        <w:t xml:space="preserve"> is required to distribute</w:t>
      </w:r>
      <w:r w:rsidR="00364A72">
        <w:t xml:space="preserve"> to the beneficiaries such amount of</w:t>
      </w:r>
      <w:r>
        <w:t xml:space="preserve"> the net income or principal as directed by the Distribution Committee (“Grantor’s Consent Power”);</w:t>
      </w:r>
    </w:p>
    <w:p w:rsidR="00CE724C" w:rsidRDefault="00CE724C" w:rsidP="00CE724C">
      <w:pPr>
        <w:pStyle w:val="ListParagraph"/>
        <w:spacing w:after="0" w:line="240" w:lineRule="auto"/>
        <w:ind w:left="2160"/>
      </w:pPr>
    </w:p>
    <w:p w:rsidR="00CE724C" w:rsidRDefault="00CE724C" w:rsidP="00CE724C">
      <w:pPr>
        <w:pStyle w:val="ListParagraph"/>
        <w:numPr>
          <w:ilvl w:val="5"/>
          <w:numId w:val="18"/>
        </w:numPr>
        <w:spacing w:after="0" w:line="240" w:lineRule="auto"/>
        <w:ind w:left="2250" w:hanging="450"/>
      </w:pPr>
      <w:r>
        <w:t>At any time, the trustee</w:t>
      </w:r>
      <w:r w:rsidR="00364A72">
        <w:t>,</w:t>
      </w:r>
      <w:r>
        <w:t xml:space="preserve"> pursuant to the direction of all of the Distribution Committee members, is required to distribute to the beneficiaries such amount of the net income or principal of the trust as directed </w:t>
      </w:r>
      <w:r w:rsidR="002A6189">
        <w:t>by the Distribution Committee</w:t>
      </w:r>
      <w:r>
        <w:t>; and</w:t>
      </w:r>
    </w:p>
    <w:p w:rsidR="00CE724C" w:rsidRDefault="00CE724C" w:rsidP="00CE724C">
      <w:pPr>
        <w:pStyle w:val="ListParagraph"/>
      </w:pPr>
    </w:p>
    <w:p w:rsidR="00CE724C" w:rsidRDefault="00CE724C" w:rsidP="00CE724C">
      <w:pPr>
        <w:pStyle w:val="ListParagraph"/>
        <w:numPr>
          <w:ilvl w:val="5"/>
          <w:numId w:val="18"/>
        </w:numPr>
        <w:spacing w:after="0" w:line="240" w:lineRule="auto"/>
        <w:ind w:left="2250" w:hanging="450"/>
      </w:pPr>
      <w:r>
        <w:t>At any time, the grantor, in a non-fiduciary capacity, may, but shall not be required to, distribute to any one or more of the grantor’s issue, such amounts of the principal (including the whole thereof) as the grantor deems advisable to provide for the health, maintenance, support and education of the Grantor’s issue (“Grantor’s Sole Power”).</w:t>
      </w:r>
    </w:p>
    <w:p w:rsidR="00CE724C" w:rsidRDefault="00CE724C" w:rsidP="00CE724C">
      <w:pPr>
        <w:pStyle w:val="ListParagraph"/>
      </w:pPr>
    </w:p>
    <w:p w:rsidR="00CE724C" w:rsidRDefault="00CE724C" w:rsidP="00CE724C">
      <w:pPr>
        <w:pStyle w:val="ListParagraph"/>
        <w:numPr>
          <w:ilvl w:val="4"/>
          <w:numId w:val="18"/>
        </w:numPr>
        <w:spacing w:after="0" w:line="240" w:lineRule="auto"/>
      </w:pPr>
      <w:r>
        <w:t xml:space="preserve">Upon the grantor’s death, the remaining trust assets are to be distributed to or for the benefit of any person or persons or entity or entities, other than the grantor’s estate, his creditors, or the creditors of his estate, as the grantor may appoint by his Last Will and Testament.  In default of the grantor’s exercise of his limited power of appointment (“Grantor’s Testamentary Power”), the </w:t>
      </w:r>
      <w:r>
        <w:lastRenderedPageBreak/>
        <w:t xml:space="preserve">balance of the trust will be distributed, per </w:t>
      </w:r>
      <w:proofErr w:type="spellStart"/>
      <w:r>
        <w:t>stirpes</w:t>
      </w:r>
      <w:proofErr w:type="spellEnd"/>
      <w:r>
        <w:t>, to the grantor’s then living issue</w:t>
      </w:r>
      <w:r w:rsidR="007B2F64">
        <w:t xml:space="preserve"> in further trust.</w:t>
      </w:r>
    </w:p>
    <w:p w:rsidR="007B2F64" w:rsidRDefault="007B2F64" w:rsidP="007B2F64">
      <w:pPr>
        <w:pStyle w:val="ListParagraph"/>
        <w:spacing w:after="0" w:line="240" w:lineRule="auto"/>
        <w:ind w:left="1800"/>
      </w:pPr>
    </w:p>
    <w:p w:rsidR="00364A72" w:rsidRDefault="007B2F64" w:rsidP="00CE724C">
      <w:pPr>
        <w:pStyle w:val="ListParagraph"/>
        <w:numPr>
          <w:ilvl w:val="4"/>
          <w:numId w:val="18"/>
        </w:numPr>
        <w:spacing w:after="0" w:line="240" w:lineRule="auto"/>
      </w:pPr>
      <w:r>
        <w:t xml:space="preserve">The 2013 PLR concluded </w:t>
      </w:r>
      <w:r w:rsidR="00364A72">
        <w:t>as follows:</w:t>
      </w:r>
    </w:p>
    <w:p w:rsidR="00364A72" w:rsidRDefault="00364A72" w:rsidP="00364A72">
      <w:pPr>
        <w:pStyle w:val="ListParagraph"/>
      </w:pPr>
    </w:p>
    <w:p w:rsidR="00364A72" w:rsidRDefault="00364A72" w:rsidP="00364A72">
      <w:pPr>
        <w:pStyle w:val="ListParagraph"/>
        <w:numPr>
          <w:ilvl w:val="5"/>
          <w:numId w:val="18"/>
        </w:numPr>
        <w:spacing w:after="0" w:line="240" w:lineRule="auto"/>
      </w:pPr>
      <w:r>
        <w:t>T</w:t>
      </w:r>
      <w:r w:rsidR="007B2F64">
        <w:t>he grantor’s retention of the Grantor’s Consen</w:t>
      </w:r>
      <w:r>
        <w:t xml:space="preserve">t Power caused the transfer of </w:t>
      </w:r>
      <w:r w:rsidR="007B2F64">
        <w:t>property into the trust to be wholly incomplete for federal gift tax purposes</w:t>
      </w:r>
      <w:r>
        <w:t>;</w:t>
      </w:r>
    </w:p>
    <w:p w:rsidR="00364A72" w:rsidRDefault="00364A72" w:rsidP="00364A72">
      <w:pPr>
        <w:pStyle w:val="ListParagraph"/>
        <w:spacing w:after="0" w:line="240" w:lineRule="auto"/>
        <w:ind w:left="2160"/>
      </w:pPr>
    </w:p>
    <w:p w:rsidR="00364A72" w:rsidRDefault="007B2F64" w:rsidP="00364A72">
      <w:pPr>
        <w:pStyle w:val="ListParagraph"/>
        <w:numPr>
          <w:ilvl w:val="5"/>
          <w:numId w:val="18"/>
        </w:numPr>
        <w:spacing w:after="0" w:line="240" w:lineRule="auto"/>
      </w:pPr>
      <w:r>
        <w:t xml:space="preserve">The </w:t>
      </w:r>
      <w:r w:rsidR="00364A72">
        <w:t>grantor’s retention</w:t>
      </w:r>
      <w:r>
        <w:t xml:space="preserve"> of the Grantor’s Sole Power also caused the transfer of the property into the trust to be wholly incomplete for federal gift tax purposes</w:t>
      </w:r>
      <w:r w:rsidR="00364A72">
        <w:t>; and</w:t>
      </w:r>
    </w:p>
    <w:p w:rsidR="00364A72" w:rsidRDefault="00364A72" w:rsidP="00364A72">
      <w:pPr>
        <w:pStyle w:val="ListParagraph"/>
      </w:pPr>
    </w:p>
    <w:p w:rsidR="007B2F64" w:rsidRDefault="00364A72" w:rsidP="00364A72">
      <w:pPr>
        <w:pStyle w:val="ListParagraph"/>
        <w:numPr>
          <w:ilvl w:val="5"/>
          <w:numId w:val="18"/>
        </w:numPr>
        <w:spacing w:after="0" w:line="240" w:lineRule="auto"/>
      </w:pPr>
      <w:r>
        <w:t xml:space="preserve"> T</w:t>
      </w:r>
      <w:r w:rsidR="007B2F64">
        <w:t>he grantor’s retention of the Grantor’s Testamentary Power caused the transfer of property into the trust to be incomplete with respect to the remainder interest in the trust for federal gift tax purposes.</w:t>
      </w:r>
    </w:p>
    <w:p w:rsidR="007B2F64" w:rsidRDefault="007B2F64" w:rsidP="007B2F64">
      <w:pPr>
        <w:pStyle w:val="ListParagraph"/>
      </w:pPr>
    </w:p>
    <w:p w:rsidR="007B2F64" w:rsidRPr="007B2F64" w:rsidRDefault="007B2F64" w:rsidP="007B2F64">
      <w:pPr>
        <w:pStyle w:val="ListParagraph"/>
        <w:numPr>
          <w:ilvl w:val="2"/>
          <w:numId w:val="18"/>
        </w:numPr>
        <w:spacing w:after="0" w:line="240" w:lineRule="auto"/>
      </w:pPr>
      <w:r>
        <w:rPr>
          <w:b/>
        </w:rPr>
        <w:t>Analysis.</w:t>
      </w:r>
    </w:p>
    <w:p w:rsidR="007B2F64" w:rsidRDefault="007B2F64" w:rsidP="007B2F64">
      <w:pPr>
        <w:pStyle w:val="ListParagraph"/>
        <w:spacing w:after="0" w:line="240" w:lineRule="auto"/>
        <w:ind w:left="1080"/>
      </w:pPr>
    </w:p>
    <w:p w:rsidR="007B2F64" w:rsidRDefault="007B2F64" w:rsidP="007B2F64">
      <w:pPr>
        <w:pStyle w:val="ListParagraph"/>
        <w:numPr>
          <w:ilvl w:val="4"/>
          <w:numId w:val="18"/>
        </w:numPr>
        <w:spacing w:after="0" w:line="240" w:lineRule="auto"/>
      </w:pPr>
      <w:r>
        <w:t>The CCA called into question whether the mere retention of the testamentary limited power of appointment by a grantor will be sufficient to cause a transfer</w:t>
      </w:r>
      <w:r w:rsidR="00364A72">
        <w:t xml:space="preserve"> of property</w:t>
      </w:r>
      <w:r>
        <w:t xml:space="preserve"> into a trust to be incomplete for federal gift tax purposes.</w:t>
      </w:r>
    </w:p>
    <w:p w:rsidR="007B2F64" w:rsidRDefault="007B2F64" w:rsidP="007B2F64">
      <w:pPr>
        <w:pStyle w:val="ListParagraph"/>
        <w:spacing w:after="0" w:line="240" w:lineRule="auto"/>
        <w:ind w:left="1800"/>
      </w:pPr>
    </w:p>
    <w:p w:rsidR="007B2F64" w:rsidRDefault="007B2F64" w:rsidP="007B2F64">
      <w:pPr>
        <w:pStyle w:val="ListParagraph"/>
        <w:numPr>
          <w:ilvl w:val="4"/>
          <w:numId w:val="18"/>
        </w:numPr>
        <w:spacing w:after="0" w:line="240" w:lineRule="auto"/>
      </w:pPr>
      <w:r>
        <w:t>The 2013 PLR offers additional g</w:t>
      </w:r>
      <w:r w:rsidR="00364A72">
        <w:t>uidance on what is required to caus</w:t>
      </w:r>
      <w:r>
        <w:t>e a grantor’s transfer of assets into a trust to be incomplete for federal gift tax purposes.  It seems clear from the 2013 PLR that the retention of a testamentary limited power of appointment will only cause the transfer of property into a trust to be incomplete with respect to the remainder interest in the trust for federal gift tax purposes.  As a result, a grantor is required to retain additional powers over a trust to cause the transfer of property into the trust to be wholly incomplete for federal gift tax purposes.</w:t>
      </w:r>
    </w:p>
    <w:p w:rsidR="007B2F64" w:rsidRDefault="007B2F64" w:rsidP="007B2F64">
      <w:pPr>
        <w:pStyle w:val="ListParagraph"/>
      </w:pPr>
    </w:p>
    <w:p w:rsidR="007B2F64" w:rsidRDefault="007B2F64" w:rsidP="007B2F64">
      <w:pPr>
        <w:pStyle w:val="ListParagraph"/>
        <w:numPr>
          <w:ilvl w:val="4"/>
          <w:numId w:val="18"/>
        </w:numPr>
        <w:spacing w:after="0" w:line="240" w:lineRule="auto"/>
      </w:pPr>
      <w:r>
        <w:t xml:space="preserve">The 2013 PLR provides that the retention of the Grantor’s Consent Power and the Grantor’s Sole Power are each sufficient, in and of themselves, to cause the transfer of property </w:t>
      </w:r>
      <w:r w:rsidR="00364A72">
        <w:t>in</w:t>
      </w:r>
      <w:r>
        <w:t>to a trust to be wholly incomplete for federal gift tax purposes.</w:t>
      </w:r>
    </w:p>
    <w:p w:rsidR="007B2F64" w:rsidRDefault="007B2F64" w:rsidP="007B2F64">
      <w:pPr>
        <w:pStyle w:val="ListParagraph"/>
      </w:pPr>
    </w:p>
    <w:p w:rsidR="00364A72" w:rsidRDefault="007B2F64" w:rsidP="007B2F64">
      <w:pPr>
        <w:pStyle w:val="ListParagraph"/>
        <w:numPr>
          <w:ilvl w:val="4"/>
          <w:numId w:val="18"/>
        </w:numPr>
        <w:spacing w:after="0" w:line="240" w:lineRule="auto"/>
      </w:pPr>
      <w:r>
        <w:t xml:space="preserve">Some commentators have suggested that the retention of the Grantor’s Sole Power is required in order to cause the transfer of trust property into the trust to be wholly incomplete for federal gift tax purposes.  This would mean that the DING structure would no longer work </w:t>
      </w:r>
      <w:r w:rsidR="00AD1BE1">
        <w:t>in any</w:t>
      </w:r>
      <w:r w:rsidR="00364A72">
        <w:t xml:space="preserve"> self-settled asset protection trust</w:t>
      </w:r>
      <w:r>
        <w:t xml:space="preserve"> jurisdiction which prohibits a grantor from retaining a lifetime limited power of appointment.  </w:t>
      </w:r>
      <w:r w:rsidR="00AD1BE1">
        <w:t xml:space="preserve"> At the time the 2013 PLR was issues Delaware’s self-settled asset protection trust statute did not permit a grantor to retain a lifetime limited power of appointment.  However, the statute was modified in February </w:t>
      </w:r>
      <w:r w:rsidR="00AD1BE1">
        <w:lastRenderedPageBreak/>
        <w:t>of 2014 to permit a grantor to retain a lifetime</w:t>
      </w:r>
      <w:r w:rsidR="00E10D4F">
        <w:t xml:space="preserve"> limited</w:t>
      </w:r>
      <w:r w:rsidR="00AD1BE1">
        <w:t xml:space="preserve"> power of appointment.  12 </w:t>
      </w:r>
      <w:r w:rsidR="00AD1BE1">
        <w:rPr>
          <w:u w:val="single"/>
        </w:rPr>
        <w:t>Del</w:t>
      </w:r>
      <w:r w:rsidR="00AD1BE1">
        <w:t xml:space="preserve">. </w:t>
      </w:r>
      <w:r w:rsidR="00AD1BE1">
        <w:rPr>
          <w:u w:val="single"/>
        </w:rPr>
        <w:t>C</w:t>
      </w:r>
      <w:r w:rsidR="00AD1BE1">
        <w:t>. § 3570(11</w:t>
      </w:r>
      <w:proofErr w:type="gramStart"/>
      <w:r w:rsidR="00AD1BE1">
        <w:t>)b.2</w:t>
      </w:r>
      <w:proofErr w:type="gramEnd"/>
      <w:r w:rsidR="00AD1BE1">
        <w:t>.</w:t>
      </w:r>
    </w:p>
    <w:p w:rsidR="00364A72" w:rsidRDefault="00364A72" w:rsidP="00364A72">
      <w:pPr>
        <w:pStyle w:val="ListParagraph"/>
      </w:pPr>
    </w:p>
    <w:p w:rsidR="007B2F64" w:rsidRDefault="00364A72" w:rsidP="007B2F64">
      <w:pPr>
        <w:pStyle w:val="ListParagraph"/>
        <w:numPr>
          <w:ilvl w:val="4"/>
          <w:numId w:val="18"/>
        </w:numPr>
        <w:spacing w:after="0" w:line="240" w:lineRule="auto"/>
      </w:pPr>
      <w:r>
        <w:t>As previously explained, the 2013 PLR clearly states that the grantor’s retention o</w:t>
      </w:r>
      <w:r w:rsidR="00DF4DAF">
        <w:t>f the Grantor’s Consent Power is</w:t>
      </w:r>
      <w:r>
        <w:t xml:space="preserve"> sufficient to cause the transfer of property into a trust to be wholly incomplete for federal gift tax purposes and as such the DING structure should work in any self-settled asset protection trust jurisdiction which permits a grantor to retain the right to consent to trust distributions</w:t>
      </w:r>
      <w:r w:rsidR="007B2F64">
        <w:t>.</w:t>
      </w:r>
      <w:r w:rsidR="00AD1BE1">
        <w:t xml:space="preserve">  Notwithstanding, it is advisable for a client to establish the trust in a jurisdiction such as Delaware or Nevada, which permit the retention of a lifetime limited power of appointment, so as to cause the trust to squarely fall within the structure described in the 2013 PLR.</w:t>
      </w:r>
    </w:p>
    <w:p w:rsidR="00364A72" w:rsidRPr="00364A72" w:rsidRDefault="00364A72" w:rsidP="00364A72">
      <w:pPr>
        <w:pStyle w:val="ListParagraph"/>
        <w:spacing w:after="0" w:line="240" w:lineRule="auto"/>
      </w:pPr>
    </w:p>
    <w:p w:rsidR="00566477" w:rsidRPr="00566477" w:rsidRDefault="00566477" w:rsidP="00566477">
      <w:pPr>
        <w:pStyle w:val="ListParagraph"/>
        <w:numPr>
          <w:ilvl w:val="1"/>
          <w:numId w:val="18"/>
        </w:numPr>
        <w:spacing w:after="0" w:line="240" w:lineRule="auto"/>
      </w:pPr>
      <w:r>
        <w:rPr>
          <w:b/>
        </w:rPr>
        <w:t>Conclusion.</w:t>
      </w:r>
    </w:p>
    <w:p w:rsidR="00566477" w:rsidRDefault="00566477" w:rsidP="00566477">
      <w:pPr>
        <w:pStyle w:val="ListParagraph"/>
        <w:spacing w:after="0" w:line="240" w:lineRule="auto"/>
      </w:pPr>
    </w:p>
    <w:p w:rsidR="0048061C" w:rsidRDefault="0048061C" w:rsidP="0048061C">
      <w:pPr>
        <w:pStyle w:val="ListParagraph"/>
        <w:numPr>
          <w:ilvl w:val="2"/>
          <w:numId w:val="18"/>
        </w:numPr>
        <w:spacing w:after="0" w:line="240" w:lineRule="auto"/>
      </w:pPr>
      <w:r>
        <w:t>Incomplete gift non-grantor trusts present a unique opportunity for individuals residing in states such as California, New Jersey, Kentucky, Massachusetts, Michigan and Missouri to minimize or avoid state income tax.</w:t>
      </w:r>
    </w:p>
    <w:p w:rsidR="0048061C" w:rsidRDefault="0048061C" w:rsidP="0048061C">
      <w:pPr>
        <w:pStyle w:val="ListParagraph"/>
        <w:spacing w:after="0" w:line="240" w:lineRule="auto"/>
        <w:ind w:left="1080"/>
      </w:pPr>
    </w:p>
    <w:p w:rsidR="00364A72" w:rsidRDefault="00364A72" w:rsidP="00566477">
      <w:pPr>
        <w:pStyle w:val="ListParagraph"/>
        <w:numPr>
          <w:ilvl w:val="2"/>
          <w:numId w:val="18"/>
        </w:numPr>
        <w:spacing w:after="0" w:line="240" w:lineRule="auto"/>
      </w:pPr>
      <w:r>
        <w:t>The 2013 PLR further substantiates the use of DING trusts.</w:t>
      </w:r>
    </w:p>
    <w:p w:rsidR="00364A72" w:rsidRDefault="00364A72" w:rsidP="00364A72">
      <w:pPr>
        <w:pStyle w:val="ListParagraph"/>
      </w:pPr>
    </w:p>
    <w:p w:rsidR="00A419E7" w:rsidRDefault="00364A72" w:rsidP="00A419E7">
      <w:pPr>
        <w:pStyle w:val="ListParagraph"/>
        <w:numPr>
          <w:ilvl w:val="2"/>
          <w:numId w:val="18"/>
        </w:numPr>
        <w:spacing w:after="0" w:line="240" w:lineRule="auto"/>
      </w:pPr>
      <w:r>
        <w:t>The 2013 PLR clearly states that the grantor’s retention of the Grantor’s Consent Power causes the transfer of property into the trust to be wholly incomplete for federal gift tax purposes, meaning a grantor should not be required to retain a lifetime limited power of appointment in order to cause the transfer of</w:t>
      </w:r>
      <w:r w:rsidR="002A6189">
        <w:t xml:space="preserve"> property into the trust to be who</w:t>
      </w:r>
      <w:r>
        <w:t>lly incomplete for federal gift tax purposes</w:t>
      </w:r>
      <w:r w:rsidR="0048061C">
        <w:t>.</w:t>
      </w:r>
      <w:r w:rsidR="00AD1BE1">
        <w:t xml:space="preserve">  However, it is advisable for clients to establish DING trusts in jurisdictions such as Delaware or Nevada which allow for the retention of a lifetime limited power of appointment so as to model the structure contained in the 2013 PLR.</w:t>
      </w:r>
    </w:p>
    <w:p w:rsidR="006934B3" w:rsidRDefault="006934B3" w:rsidP="00A419E7">
      <w:pPr>
        <w:pStyle w:val="NormalWeb"/>
        <w:shd w:val="clear" w:color="auto" w:fill="FFFFFF"/>
        <w:ind w:right="720"/>
        <w:jc w:val="both"/>
        <w:rPr>
          <w:rStyle w:val="Strong"/>
          <w:color w:val="000000"/>
          <w:sz w:val="28"/>
          <w:szCs w:val="28"/>
        </w:rPr>
      </w:pPr>
    </w:p>
    <w:p w:rsidR="00A419E7" w:rsidRDefault="00A419E7" w:rsidP="00A419E7">
      <w:pPr>
        <w:pStyle w:val="NormalWeb"/>
        <w:shd w:val="clear" w:color="auto" w:fill="FFFFFF"/>
        <w:ind w:right="720"/>
        <w:jc w:val="both"/>
        <w:rPr>
          <w:rStyle w:val="Strong"/>
          <w:color w:val="000000"/>
          <w:sz w:val="28"/>
          <w:szCs w:val="28"/>
        </w:rPr>
      </w:pPr>
      <w:r w:rsidRPr="005306DE">
        <w:rPr>
          <w:rStyle w:val="Strong"/>
          <w:color w:val="000000"/>
          <w:sz w:val="28"/>
          <w:szCs w:val="28"/>
        </w:rPr>
        <w:t>HOPE THIS HELPS YOU HELP OTHERS MAKE A</w:t>
      </w:r>
      <w:r w:rsidRPr="005306DE">
        <w:rPr>
          <w:rStyle w:val="apple-converted-space"/>
          <w:b/>
          <w:bCs/>
          <w:color w:val="000000"/>
          <w:sz w:val="28"/>
          <w:szCs w:val="28"/>
        </w:rPr>
        <w:t> </w:t>
      </w:r>
      <w:r w:rsidRPr="006934B3">
        <w:rPr>
          <w:rStyle w:val="Strong"/>
          <w:i/>
          <w:iCs/>
          <w:color w:val="000000"/>
          <w:sz w:val="28"/>
          <w:szCs w:val="28"/>
        </w:rPr>
        <w:t xml:space="preserve">POSITIVE </w:t>
      </w:r>
      <w:r w:rsidRPr="005306DE">
        <w:rPr>
          <w:rStyle w:val="Strong"/>
          <w:color w:val="000000"/>
          <w:sz w:val="28"/>
          <w:szCs w:val="28"/>
        </w:rPr>
        <w:t>DIFFERENCE!</w:t>
      </w:r>
    </w:p>
    <w:p w:rsidR="00A025F4" w:rsidRPr="005306DE" w:rsidRDefault="00A025F4" w:rsidP="00A419E7">
      <w:pPr>
        <w:pStyle w:val="NormalWeb"/>
        <w:shd w:val="clear" w:color="auto" w:fill="FFFFFF"/>
        <w:ind w:right="720"/>
        <w:jc w:val="both"/>
        <w:rPr>
          <w:color w:val="000000"/>
          <w:sz w:val="27"/>
          <w:szCs w:val="27"/>
        </w:rPr>
      </w:pPr>
    </w:p>
    <w:p w:rsidR="00A419E7" w:rsidRPr="005306DE" w:rsidRDefault="00A419E7" w:rsidP="00A419E7">
      <w:pPr>
        <w:pStyle w:val="NormalWeb"/>
        <w:shd w:val="clear" w:color="auto" w:fill="FFFFFF"/>
        <w:ind w:right="720"/>
        <w:rPr>
          <w:color w:val="000000"/>
          <w:sz w:val="27"/>
          <w:szCs w:val="27"/>
        </w:rPr>
      </w:pPr>
      <w:r w:rsidRPr="005306DE">
        <w:rPr>
          <w:color w:val="000000"/>
          <w:sz w:val="27"/>
          <w:szCs w:val="27"/>
        </w:rPr>
        <w:t> </w:t>
      </w:r>
      <w:r w:rsidR="00A025F4">
        <w:rPr>
          <w:rFonts w:ascii="Lucida Handwriting" w:hAnsi="Lucida Handwriting"/>
          <w:color w:val="000000"/>
          <w:sz w:val="72"/>
          <w:szCs w:val="72"/>
        </w:rPr>
        <w:t xml:space="preserve">Michael M. Gordon </w:t>
      </w:r>
      <w:r w:rsidR="00A025F4" w:rsidRPr="00AB4234">
        <w:rPr>
          <w:rFonts w:ascii="Lucida Handwriting" w:hAnsi="Lucida Handwriting"/>
          <w:color w:val="000000"/>
          <w:sz w:val="72"/>
          <w:szCs w:val="72"/>
        </w:rPr>
        <w:t>Cynthia D.M. Brown</w:t>
      </w:r>
    </w:p>
    <w:p w:rsidR="00A025F4" w:rsidRPr="000723FB" w:rsidRDefault="00A025F4" w:rsidP="00A025F4">
      <w:pPr>
        <w:pStyle w:val="NormalWeb"/>
        <w:shd w:val="clear" w:color="auto" w:fill="FFFFFF"/>
        <w:ind w:right="720"/>
        <w:rPr>
          <w:rStyle w:val="Strong"/>
          <w:bCs w:val="0"/>
          <w:color w:val="000000"/>
          <w:sz w:val="40"/>
          <w:szCs w:val="40"/>
        </w:rPr>
      </w:pPr>
      <w:r w:rsidRPr="000723FB">
        <w:rPr>
          <w:rStyle w:val="Strong"/>
          <w:bCs w:val="0"/>
          <w:color w:val="000000"/>
          <w:sz w:val="40"/>
          <w:szCs w:val="40"/>
        </w:rPr>
        <w:lastRenderedPageBreak/>
        <w:t>TECHNICAL EDITOR: DUNCAN OSBORNE</w:t>
      </w:r>
    </w:p>
    <w:p w:rsidR="00A025F4" w:rsidRDefault="00A025F4" w:rsidP="00A025F4">
      <w:pPr>
        <w:pStyle w:val="NormalWeb"/>
        <w:shd w:val="clear" w:color="auto" w:fill="FFFFFF"/>
        <w:rPr>
          <w:rStyle w:val="Strong"/>
          <w:color w:val="0000FF"/>
          <w:sz w:val="36"/>
          <w:szCs w:val="36"/>
        </w:rPr>
      </w:pPr>
    </w:p>
    <w:p w:rsidR="00A025F4" w:rsidRDefault="00A025F4" w:rsidP="00A025F4">
      <w:pPr>
        <w:pStyle w:val="NormalWeb"/>
        <w:shd w:val="clear" w:color="auto" w:fill="FFFFFF"/>
        <w:rPr>
          <w:color w:val="000000"/>
          <w:sz w:val="27"/>
          <w:szCs w:val="27"/>
        </w:rPr>
      </w:pPr>
      <w:r>
        <w:rPr>
          <w:rStyle w:val="Strong"/>
          <w:color w:val="0000FF"/>
          <w:sz w:val="36"/>
          <w:szCs w:val="36"/>
        </w:rPr>
        <w:t>CITE AS:</w:t>
      </w:r>
      <w:r>
        <w:rPr>
          <w:rStyle w:val="Strong"/>
          <w:color w:val="0000FF"/>
          <w:sz w:val="32"/>
          <w:szCs w:val="32"/>
        </w:rPr>
        <w:t> </w:t>
      </w:r>
    </w:p>
    <w:p w:rsidR="00A025F4" w:rsidRPr="005306DE" w:rsidRDefault="00A025F4" w:rsidP="00A025F4">
      <w:pPr>
        <w:pStyle w:val="NormalWeb"/>
        <w:shd w:val="clear" w:color="auto" w:fill="FFFFFF"/>
        <w:spacing w:before="0" w:beforeAutospacing="0" w:after="0" w:afterAutospacing="0"/>
        <w:rPr>
          <w:sz w:val="28"/>
          <w:szCs w:val="28"/>
        </w:rPr>
      </w:pPr>
      <w:r>
        <w:rPr>
          <w:rStyle w:val="Strong"/>
          <w:color w:val="3333FF"/>
          <w:sz w:val="32"/>
          <w:szCs w:val="32"/>
          <w:shd w:val="clear" w:color="auto" w:fill="FFFFFF"/>
        </w:rPr>
        <w:t>LISI</w:t>
      </w:r>
      <w:r>
        <w:rPr>
          <w:rStyle w:val="Strong"/>
          <w:color w:val="0000FF"/>
          <w:sz w:val="32"/>
          <w:szCs w:val="32"/>
          <w:shd w:val="clear" w:color="auto" w:fill="FFFFFF"/>
        </w:rPr>
        <w:t> </w:t>
      </w:r>
      <w:r>
        <w:rPr>
          <w:color w:val="000000"/>
          <w:sz w:val="28"/>
          <w:szCs w:val="28"/>
          <w:shd w:val="clear" w:color="auto" w:fill="FFFFFF"/>
        </w:rPr>
        <w:t>Asset Protection Planning Newsletter #263, (October 6, 2014) at </w:t>
      </w:r>
      <w:hyperlink r:id="rId10" w:history="1">
        <w:r>
          <w:rPr>
            <w:rStyle w:val="Hyperlink"/>
            <w:color w:val="3333FF"/>
            <w:sz w:val="28"/>
            <w:szCs w:val="28"/>
            <w:shd w:val="clear" w:color="auto" w:fill="FFFFFF"/>
          </w:rPr>
          <w:t>http://www.LeimbergServices.com</w:t>
        </w:r>
      </w:hyperlink>
      <w:r>
        <w:rPr>
          <w:color w:val="3333FF"/>
          <w:sz w:val="28"/>
          <w:szCs w:val="28"/>
          <w:shd w:val="clear" w:color="auto" w:fill="FFFFFF"/>
        </w:rPr>
        <w:t> </w:t>
      </w:r>
      <w:r>
        <w:rPr>
          <w:color w:val="000000"/>
          <w:sz w:val="28"/>
          <w:szCs w:val="28"/>
          <w:shd w:val="clear" w:color="auto" w:fill="FFFFFF"/>
        </w:rPr>
        <w:t xml:space="preserve"> Copyright 2014 </w:t>
      </w:r>
      <w:proofErr w:type="spellStart"/>
      <w:r>
        <w:rPr>
          <w:color w:val="000000"/>
          <w:sz w:val="28"/>
          <w:szCs w:val="28"/>
          <w:shd w:val="clear" w:color="auto" w:fill="FFFFFF"/>
        </w:rPr>
        <w:t>Leimberg</w:t>
      </w:r>
      <w:proofErr w:type="spellEnd"/>
      <w:r>
        <w:rPr>
          <w:color w:val="000000"/>
          <w:sz w:val="28"/>
          <w:szCs w:val="28"/>
          <w:shd w:val="clear" w:color="auto" w:fill="FFFFFF"/>
        </w:rPr>
        <w:t xml:space="preserve"> Information Services, Inc. (</w:t>
      </w:r>
      <w:r>
        <w:rPr>
          <w:rStyle w:val="Strong"/>
          <w:color w:val="3333FF"/>
          <w:sz w:val="32"/>
          <w:szCs w:val="32"/>
          <w:shd w:val="clear" w:color="auto" w:fill="FFFFFF"/>
        </w:rPr>
        <w:t>LISI</w:t>
      </w:r>
      <w:r>
        <w:rPr>
          <w:color w:val="000000"/>
          <w:sz w:val="28"/>
          <w:szCs w:val="28"/>
          <w:shd w:val="clear" w:color="auto" w:fill="FFFFFF"/>
        </w:rPr>
        <w:t>).  </w:t>
      </w:r>
      <w:proofErr w:type="gramStart"/>
      <w:r>
        <w:rPr>
          <w:color w:val="000000"/>
          <w:sz w:val="28"/>
          <w:szCs w:val="28"/>
          <w:shd w:val="clear" w:color="auto" w:fill="FFFFFF"/>
        </w:rPr>
        <w:t>Reproduction in Any Form or Forwarding to Any Person Prohibited – Without Express Written Permission.</w:t>
      </w:r>
      <w:proofErr w:type="gramEnd"/>
    </w:p>
    <w:p w:rsidR="006326D1" w:rsidRPr="00F7638C" w:rsidRDefault="006326D1" w:rsidP="00566477">
      <w:pPr>
        <w:spacing w:after="0" w:line="240" w:lineRule="auto"/>
      </w:pPr>
    </w:p>
    <w:sectPr w:rsidR="006326D1" w:rsidRPr="00F7638C" w:rsidSect="00F335A6">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96C" w:rsidRDefault="0086296C" w:rsidP="00F335A6">
      <w:pPr>
        <w:spacing w:after="0" w:line="240" w:lineRule="auto"/>
      </w:pPr>
      <w:r>
        <w:separator/>
      </w:r>
    </w:p>
  </w:endnote>
  <w:endnote w:type="continuationSeparator" w:id="0">
    <w:p w:rsidR="0086296C" w:rsidRDefault="0086296C" w:rsidP="00F33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4A" w:rsidRDefault="000C714A">
    <w:pPr>
      <w:pStyle w:val="Footer"/>
      <w:jc w:val="center"/>
    </w:pPr>
  </w:p>
  <w:p w:rsidR="00EA5CCE" w:rsidRPr="00F7638C" w:rsidRDefault="00EA5C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4A" w:rsidRDefault="000C714A">
    <w:pPr>
      <w:pStyle w:val="Footer"/>
      <w:jc w:val="center"/>
    </w:pPr>
  </w:p>
  <w:p w:rsidR="00EA5CCE" w:rsidRPr="007845D5" w:rsidRDefault="00EA5CCE" w:rsidP="00784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96C" w:rsidRDefault="0086296C" w:rsidP="00F335A6">
      <w:pPr>
        <w:spacing w:after="0" w:line="240" w:lineRule="auto"/>
        <w:rPr>
          <w:noProof/>
        </w:rPr>
      </w:pPr>
      <w:r>
        <w:rPr>
          <w:noProof/>
        </w:rPr>
        <w:separator/>
      </w:r>
    </w:p>
  </w:footnote>
  <w:footnote w:type="continuationSeparator" w:id="0">
    <w:p w:rsidR="0086296C" w:rsidRDefault="0086296C" w:rsidP="00F33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CE" w:rsidRDefault="00EA5CCE" w:rsidP="00E37110">
    <w:pPr>
      <w:spacing w:after="0" w:line="240" w:lineRule="auto"/>
      <w:contextualSpacing/>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CE" w:rsidRPr="00F335A6" w:rsidRDefault="00EA5CCE" w:rsidP="00F335A6">
    <w:pPr>
      <w:pStyle w:val="Header"/>
      <w:jc w:val="right"/>
      <w:rPr>
        <w:small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BB4"/>
    <w:multiLevelType w:val="multilevel"/>
    <w:tmpl w:val="BBCE631A"/>
    <w:lvl w:ilvl="0">
      <w:start w:val="1"/>
      <w:numFmt w:val="upperRoman"/>
      <w:lvlText w:val="%1."/>
      <w:lvlJc w:val="left"/>
      <w:pPr>
        <w:ind w:left="1080" w:hanging="360"/>
      </w:pPr>
      <w:rPr>
        <w:rFonts w:ascii="Times New Roman" w:hAnsi="Times New Roman" w:hint="default"/>
      </w:rPr>
    </w:lvl>
    <w:lvl w:ilvl="1">
      <w:start w:val="1"/>
      <w:numFmt w:val="upperLetter"/>
      <w:lvlText w:val="%2."/>
      <w:lvlJc w:val="left"/>
      <w:pPr>
        <w:ind w:left="1440" w:hanging="360"/>
      </w:pPr>
      <w:rPr>
        <w:rFonts w:ascii="Times New Roman" w:hAnsi="Times New Roman" w:hint="default"/>
      </w:rPr>
    </w:lvl>
    <w:lvl w:ilvl="2">
      <w:start w:val="1"/>
      <w:numFmt w:val="decimal"/>
      <w:lvlText w:val="%3."/>
      <w:lvlJc w:val="left"/>
      <w:pPr>
        <w:ind w:left="1800" w:hanging="360"/>
      </w:pPr>
      <w:rPr>
        <w:rFonts w:ascii="Times New Roman" w:hAnsi="Times New Roman" w:hint="default"/>
      </w:rPr>
    </w:lvl>
    <w:lvl w:ilvl="3">
      <w:start w:val="1"/>
      <w:numFmt w:val="none"/>
      <w:lvlText w:val="i."/>
      <w:lvlJc w:val="left"/>
      <w:pPr>
        <w:ind w:left="2160" w:hanging="360"/>
      </w:pPr>
      <w:rPr>
        <w:rFonts w:ascii="Times New Roman" w:hAnsi="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0254053A"/>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8A71B6"/>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006C98"/>
    <w:multiLevelType w:val="hybridMultilevel"/>
    <w:tmpl w:val="98D6B988"/>
    <w:lvl w:ilvl="0" w:tplc="67C210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AF7500"/>
    <w:multiLevelType w:val="hybridMultilevel"/>
    <w:tmpl w:val="FA4A7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854AA1"/>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780EB2"/>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38D0D6F"/>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4CA0488"/>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D8506B"/>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0F90BF5"/>
    <w:multiLevelType w:val="hybridMultilevel"/>
    <w:tmpl w:val="A3242B74"/>
    <w:lvl w:ilvl="0" w:tplc="0ADAAD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546DE2"/>
    <w:multiLevelType w:val="multilevel"/>
    <w:tmpl w:val="2B606E0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354B3896"/>
    <w:multiLevelType w:val="multilevel"/>
    <w:tmpl w:val="2B606E0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3E9A5285"/>
    <w:multiLevelType w:val="hybridMultilevel"/>
    <w:tmpl w:val="A36AAECC"/>
    <w:lvl w:ilvl="0" w:tplc="389AEA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84A45"/>
    <w:multiLevelType w:val="multilevel"/>
    <w:tmpl w:val="BBCE631A"/>
    <w:lvl w:ilvl="0">
      <w:start w:val="1"/>
      <w:numFmt w:val="upperRoman"/>
      <w:lvlText w:val="%1."/>
      <w:lvlJc w:val="left"/>
      <w:pPr>
        <w:ind w:left="1080" w:hanging="360"/>
      </w:pPr>
      <w:rPr>
        <w:rFonts w:ascii="Times New Roman" w:hAnsi="Times New Roman" w:hint="default"/>
      </w:rPr>
    </w:lvl>
    <w:lvl w:ilvl="1">
      <w:start w:val="1"/>
      <w:numFmt w:val="upperLetter"/>
      <w:lvlText w:val="%2."/>
      <w:lvlJc w:val="left"/>
      <w:pPr>
        <w:ind w:left="1440" w:hanging="360"/>
      </w:pPr>
      <w:rPr>
        <w:rFonts w:ascii="Times New Roman" w:hAnsi="Times New Roman" w:hint="default"/>
      </w:rPr>
    </w:lvl>
    <w:lvl w:ilvl="2">
      <w:start w:val="1"/>
      <w:numFmt w:val="decimal"/>
      <w:lvlText w:val="%3."/>
      <w:lvlJc w:val="left"/>
      <w:pPr>
        <w:ind w:left="1800" w:hanging="360"/>
      </w:pPr>
      <w:rPr>
        <w:rFonts w:ascii="Times New Roman" w:hAnsi="Times New Roman" w:hint="default"/>
      </w:rPr>
    </w:lvl>
    <w:lvl w:ilvl="3">
      <w:start w:val="1"/>
      <w:numFmt w:val="none"/>
      <w:lvlText w:val="i."/>
      <w:lvlJc w:val="left"/>
      <w:pPr>
        <w:ind w:left="2160" w:hanging="360"/>
      </w:pPr>
      <w:rPr>
        <w:rFonts w:ascii="Times New Roman" w:hAnsi="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4D480C47"/>
    <w:multiLevelType w:val="multilevel"/>
    <w:tmpl w:val="2B606E0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52B12044"/>
    <w:multiLevelType w:val="multilevel"/>
    <w:tmpl w:val="12BAAE48"/>
    <w:lvl w:ilvl="0">
      <w:start w:val="1"/>
      <w:numFmt w:val="upperRoman"/>
      <w:lvlText w:val="%1."/>
      <w:lvlJc w:val="left"/>
      <w:pPr>
        <w:ind w:left="360" w:hanging="360"/>
      </w:pPr>
      <w:rPr>
        <w:rFonts w:ascii="Times New Roman" w:hAnsi="Times New Roman" w:hint="default"/>
        <w:b/>
      </w:rPr>
    </w:lvl>
    <w:lvl w:ilvl="1">
      <w:start w:val="1"/>
      <w:numFmt w:val="upperLetter"/>
      <w:lvlText w:val="%2."/>
      <w:lvlJc w:val="left"/>
      <w:pPr>
        <w:ind w:left="720" w:hanging="360"/>
      </w:pPr>
      <w:rPr>
        <w:rFonts w:ascii="Times New Roman" w:hAnsi="Times New Roman" w:hint="default"/>
        <w:b/>
      </w:rPr>
    </w:lvl>
    <w:lvl w:ilvl="2">
      <w:start w:val="1"/>
      <w:numFmt w:val="decimal"/>
      <w:lvlText w:val="%3."/>
      <w:lvlJc w:val="left"/>
      <w:pPr>
        <w:ind w:left="1080" w:hanging="360"/>
      </w:pPr>
      <w:rPr>
        <w:rFonts w:ascii="Times New Roman" w:hAnsi="Times New Roman" w:hint="default"/>
        <w:b w:val="0"/>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8417E05"/>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C80AB2"/>
    <w:multiLevelType w:val="hybridMultilevel"/>
    <w:tmpl w:val="E86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304F8"/>
    <w:multiLevelType w:val="multilevel"/>
    <w:tmpl w:val="BBCE631A"/>
    <w:lvl w:ilvl="0">
      <w:start w:val="1"/>
      <w:numFmt w:val="upperRoman"/>
      <w:lvlText w:val="%1."/>
      <w:lvlJc w:val="left"/>
      <w:pPr>
        <w:ind w:left="1440" w:hanging="360"/>
      </w:pPr>
      <w:rPr>
        <w:rFonts w:ascii="Times New Roman" w:hAnsi="Times New Roman" w:hint="default"/>
      </w:rPr>
    </w:lvl>
    <w:lvl w:ilvl="1">
      <w:start w:val="1"/>
      <w:numFmt w:val="upperLetter"/>
      <w:lvlText w:val="%2."/>
      <w:lvlJc w:val="left"/>
      <w:pPr>
        <w:ind w:left="1800" w:hanging="360"/>
      </w:pPr>
      <w:rPr>
        <w:rFonts w:ascii="Times New Roman" w:hAnsi="Times New Roman" w:hint="default"/>
      </w:rPr>
    </w:lvl>
    <w:lvl w:ilvl="2">
      <w:start w:val="1"/>
      <w:numFmt w:val="decimal"/>
      <w:lvlText w:val="%3."/>
      <w:lvlJc w:val="left"/>
      <w:pPr>
        <w:ind w:left="2160" w:hanging="360"/>
      </w:pPr>
      <w:rPr>
        <w:rFonts w:ascii="Times New Roman" w:hAnsi="Times New Roman" w:hint="default"/>
      </w:rPr>
    </w:lvl>
    <w:lvl w:ilvl="3">
      <w:start w:val="1"/>
      <w:numFmt w:val="none"/>
      <w:lvlText w:val="i."/>
      <w:lvlJc w:val="left"/>
      <w:pPr>
        <w:ind w:left="2520" w:hanging="360"/>
      </w:pPr>
      <w:rPr>
        <w:rFonts w:ascii="Times New Roman" w:hAnsi="Times New Roman"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nsid w:val="71743E45"/>
    <w:multiLevelType w:val="hybridMultilevel"/>
    <w:tmpl w:val="2A80E6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1EB1969"/>
    <w:multiLevelType w:val="hybridMultilevel"/>
    <w:tmpl w:val="322E6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EF06DA"/>
    <w:multiLevelType w:val="multilevel"/>
    <w:tmpl w:val="2B606E0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nsid w:val="75B1565F"/>
    <w:multiLevelType w:val="multilevel"/>
    <w:tmpl w:val="BBCE631A"/>
    <w:lvl w:ilvl="0">
      <w:start w:val="1"/>
      <w:numFmt w:val="upperRoman"/>
      <w:lvlText w:val="%1."/>
      <w:lvlJc w:val="left"/>
      <w:pPr>
        <w:ind w:left="1080" w:hanging="360"/>
      </w:pPr>
      <w:rPr>
        <w:rFonts w:ascii="Times New Roman" w:hAnsi="Times New Roman" w:hint="default"/>
      </w:rPr>
    </w:lvl>
    <w:lvl w:ilvl="1">
      <w:start w:val="1"/>
      <w:numFmt w:val="upperLetter"/>
      <w:lvlText w:val="%2."/>
      <w:lvlJc w:val="left"/>
      <w:pPr>
        <w:ind w:left="1440" w:hanging="360"/>
      </w:pPr>
      <w:rPr>
        <w:rFonts w:ascii="Times New Roman" w:hAnsi="Times New Roman" w:hint="default"/>
      </w:rPr>
    </w:lvl>
    <w:lvl w:ilvl="2">
      <w:start w:val="1"/>
      <w:numFmt w:val="decimal"/>
      <w:lvlText w:val="%3."/>
      <w:lvlJc w:val="left"/>
      <w:pPr>
        <w:ind w:left="1800" w:hanging="360"/>
      </w:pPr>
      <w:rPr>
        <w:rFonts w:ascii="Times New Roman" w:hAnsi="Times New Roman" w:hint="default"/>
      </w:rPr>
    </w:lvl>
    <w:lvl w:ilvl="3">
      <w:start w:val="1"/>
      <w:numFmt w:val="none"/>
      <w:lvlText w:val="i."/>
      <w:lvlJc w:val="left"/>
      <w:pPr>
        <w:ind w:left="2160" w:hanging="360"/>
      </w:pPr>
      <w:rPr>
        <w:rFonts w:ascii="Times New Roman" w:hAnsi="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nsid w:val="78193094"/>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928558D"/>
    <w:multiLevelType w:val="hybridMultilevel"/>
    <w:tmpl w:val="AA8A05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7C5C2839"/>
    <w:multiLevelType w:val="multilevel"/>
    <w:tmpl w:val="BBCE631A"/>
    <w:lvl w:ilvl="0">
      <w:start w:val="1"/>
      <w:numFmt w:val="upperRoman"/>
      <w:lvlText w:val="%1."/>
      <w:lvlJc w:val="left"/>
      <w:pPr>
        <w:ind w:left="360" w:hanging="360"/>
      </w:pPr>
      <w:rPr>
        <w:rFonts w:ascii="Times New Roman" w:hAnsi="Times New Roman" w:hint="default"/>
      </w:rPr>
    </w:lvl>
    <w:lvl w:ilvl="1">
      <w:start w:val="1"/>
      <w:numFmt w:val="upperLetter"/>
      <w:lvlText w:val="%2."/>
      <w:lvlJc w:val="left"/>
      <w:pPr>
        <w:ind w:left="720" w:hanging="360"/>
      </w:pPr>
      <w:rPr>
        <w:rFonts w:ascii="Times New Roman" w:hAnsi="Times New Roman" w:hint="default"/>
      </w:rPr>
    </w:lvl>
    <w:lvl w:ilvl="2">
      <w:start w:val="1"/>
      <w:numFmt w:val="decimal"/>
      <w:lvlText w:val="%3."/>
      <w:lvlJc w:val="left"/>
      <w:pPr>
        <w:ind w:left="1080" w:hanging="360"/>
      </w:pPr>
      <w:rPr>
        <w:rFonts w:ascii="Times New Roman" w:hAnsi="Times New Roman" w:hint="default"/>
      </w:rPr>
    </w:lvl>
    <w:lvl w:ilvl="3">
      <w:start w:val="1"/>
      <w:numFmt w:val="none"/>
      <w:lvlText w:val="i."/>
      <w:lvlJc w:val="left"/>
      <w:pPr>
        <w:ind w:left="1440" w:hanging="360"/>
      </w:pPr>
      <w:rPr>
        <w:rFonts w:ascii="Times New Roman" w:hAnsi="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2"/>
  </w:num>
  <w:num w:numId="3">
    <w:abstractNumId w:val="12"/>
  </w:num>
  <w:num w:numId="4">
    <w:abstractNumId w:val="11"/>
  </w:num>
  <w:num w:numId="5">
    <w:abstractNumId w:val="15"/>
  </w:num>
  <w:num w:numId="6">
    <w:abstractNumId w:val="13"/>
  </w:num>
  <w:num w:numId="7">
    <w:abstractNumId w:val="10"/>
  </w:num>
  <w:num w:numId="8">
    <w:abstractNumId w:val="6"/>
  </w:num>
  <w:num w:numId="9">
    <w:abstractNumId w:val="7"/>
  </w:num>
  <w:num w:numId="10">
    <w:abstractNumId w:val="25"/>
  </w:num>
  <w:num w:numId="11">
    <w:abstractNumId w:val="5"/>
  </w:num>
  <w:num w:numId="12">
    <w:abstractNumId w:val="8"/>
  </w:num>
  <w:num w:numId="13">
    <w:abstractNumId w:val="24"/>
  </w:num>
  <w:num w:numId="14">
    <w:abstractNumId w:val="9"/>
  </w:num>
  <w:num w:numId="15">
    <w:abstractNumId w:val="21"/>
  </w:num>
  <w:num w:numId="16">
    <w:abstractNumId w:val="2"/>
  </w:num>
  <w:num w:numId="17">
    <w:abstractNumId w:val="19"/>
  </w:num>
  <w:num w:numId="18">
    <w:abstractNumId w:val="16"/>
  </w:num>
  <w:num w:numId="19">
    <w:abstractNumId w:val="23"/>
  </w:num>
  <w:num w:numId="20">
    <w:abstractNumId w:val="1"/>
  </w:num>
  <w:num w:numId="21">
    <w:abstractNumId w:val="14"/>
  </w:num>
  <w:num w:numId="22">
    <w:abstractNumId w:val="26"/>
  </w:num>
  <w:num w:numId="23">
    <w:abstractNumId w:val="17"/>
  </w:num>
  <w:num w:numId="24">
    <w:abstractNumId w:val="0"/>
  </w:num>
  <w:num w:numId="25">
    <w:abstractNumId w:val="20"/>
  </w:num>
  <w:num w:numId="26">
    <w:abstractNumId w:val="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25602"/>
  </w:hdrShapeDefaults>
  <w:footnotePr>
    <w:footnote w:id="-1"/>
    <w:footnote w:id="0"/>
  </w:footnotePr>
  <w:endnotePr>
    <w:endnote w:id="-1"/>
    <w:endnote w:id="0"/>
  </w:endnotePr>
  <w:compat/>
  <w:rsids>
    <w:rsidRoot w:val="00210F7F"/>
    <w:rsid w:val="00035FF9"/>
    <w:rsid w:val="0004546F"/>
    <w:rsid w:val="00050361"/>
    <w:rsid w:val="0006243D"/>
    <w:rsid w:val="000677AD"/>
    <w:rsid w:val="00073848"/>
    <w:rsid w:val="00097452"/>
    <w:rsid w:val="000C714A"/>
    <w:rsid w:val="000C7C99"/>
    <w:rsid w:val="000E5DA7"/>
    <w:rsid w:val="000F72A1"/>
    <w:rsid w:val="00111A85"/>
    <w:rsid w:val="00117686"/>
    <w:rsid w:val="00125952"/>
    <w:rsid w:val="001271E3"/>
    <w:rsid w:val="00162B7D"/>
    <w:rsid w:val="001954BD"/>
    <w:rsid w:val="001A0675"/>
    <w:rsid w:val="001C0FAA"/>
    <w:rsid w:val="001E17C2"/>
    <w:rsid w:val="00210F7F"/>
    <w:rsid w:val="002208F3"/>
    <w:rsid w:val="002300A1"/>
    <w:rsid w:val="002515AD"/>
    <w:rsid w:val="002A6189"/>
    <w:rsid w:val="002B5F1C"/>
    <w:rsid w:val="0032034F"/>
    <w:rsid w:val="0034367D"/>
    <w:rsid w:val="003450B7"/>
    <w:rsid w:val="003523CF"/>
    <w:rsid w:val="003558D0"/>
    <w:rsid w:val="00364A72"/>
    <w:rsid w:val="003E083E"/>
    <w:rsid w:val="003E4C7B"/>
    <w:rsid w:val="003F7A2E"/>
    <w:rsid w:val="004035A3"/>
    <w:rsid w:val="00426A98"/>
    <w:rsid w:val="00431376"/>
    <w:rsid w:val="00433ADD"/>
    <w:rsid w:val="00435823"/>
    <w:rsid w:val="004369FB"/>
    <w:rsid w:val="00441190"/>
    <w:rsid w:val="00461F0B"/>
    <w:rsid w:val="00466F0D"/>
    <w:rsid w:val="00467620"/>
    <w:rsid w:val="004777E2"/>
    <w:rsid w:val="0048061C"/>
    <w:rsid w:val="004878B8"/>
    <w:rsid w:val="00487FDF"/>
    <w:rsid w:val="004A1C5C"/>
    <w:rsid w:val="004A556E"/>
    <w:rsid w:val="004D02FD"/>
    <w:rsid w:val="004D155A"/>
    <w:rsid w:val="004D3CB2"/>
    <w:rsid w:val="004E3A05"/>
    <w:rsid w:val="004E460D"/>
    <w:rsid w:val="00540359"/>
    <w:rsid w:val="00542627"/>
    <w:rsid w:val="00566477"/>
    <w:rsid w:val="005711E0"/>
    <w:rsid w:val="005B62DF"/>
    <w:rsid w:val="005D03D8"/>
    <w:rsid w:val="005D0A77"/>
    <w:rsid w:val="005E4BAE"/>
    <w:rsid w:val="005F2B1B"/>
    <w:rsid w:val="00601BA5"/>
    <w:rsid w:val="006039C5"/>
    <w:rsid w:val="00613C63"/>
    <w:rsid w:val="006326D1"/>
    <w:rsid w:val="00633193"/>
    <w:rsid w:val="00637D80"/>
    <w:rsid w:val="006735BC"/>
    <w:rsid w:val="006779A2"/>
    <w:rsid w:val="00680C26"/>
    <w:rsid w:val="006818D2"/>
    <w:rsid w:val="006934B3"/>
    <w:rsid w:val="006C206D"/>
    <w:rsid w:val="006D76AC"/>
    <w:rsid w:val="006F712E"/>
    <w:rsid w:val="00716E30"/>
    <w:rsid w:val="00734CF8"/>
    <w:rsid w:val="00744298"/>
    <w:rsid w:val="00752DE1"/>
    <w:rsid w:val="007737A2"/>
    <w:rsid w:val="007845D5"/>
    <w:rsid w:val="00790296"/>
    <w:rsid w:val="007934A1"/>
    <w:rsid w:val="007A02AE"/>
    <w:rsid w:val="007A08BF"/>
    <w:rsid w:val="007B2F64"/>
    <w:rsid w:val="007C3F3D"/>
    <w:rsid w:val="007D5F74"/>
    <w:rsid w:val="00825142"/>
    <w:rsid w:val="008261BE"/>
    <w:rsid w:val="0083060A"/>
    <w:rsid w:val="0084264B"/>
    <w:rsid w:val="0085515D"/>
    <w:rsid w:val="0086296C"/>
    <w:rsid w:val="00862DF2"/>
    <w:rsid w:val="00884205"/>
    <w:rsid w:val="00887A4F"/>
    <w:rsid w:val="008907EF"/>
    <w:rsid w:val="008947F3"/>
    <w:rsid w:val="008B3630"/>
    <w:rsid w:val="008E2C0D"/>
    <w:rsid w:val="008F65B3"/>
    <w:rsid w:val="008F7083"/>
    <w:rsid w:val="009170D1"/>
    <w:rsid w:val="00975283"/>
    <w:rsid w:val="009858DD"/>
    <w:rsid w:val="009C5C98"/>
    <w:rsid w:val="009D5AD3"/>
    <w:rsid w:val="009E1E9B"/>
    <w:rsid w:val="00A025F4"/>
    <w:rsid w:val="00A419E7"/>
    <w:rsid w:val="00A42C34"/>
    <w:rsid w:val="00A773D7"/>
    <w:rsid w:val="00A911FF"/>
    <w:rsid w:val="00A97A49"/>
    <w:rsid w:val="00AB0947"/>
    <w:rsid w:val="00AC25AE"/>
    <w:rsid w:val="00AD03A8"/>
    <w:rsid w:val="00AD1BE1"/>
    <w:rsid w:val="00B26C5D"/>
    <w:rsid w:val="00B327CA"/>
    <w:rsid w:val="00B64847"/>
    <w:rsid w:val="00B6566D"/>
    <w:rsid w:val="00B66AD5"/>
    <w:rsid w:val="00B77941"/>
    <w:rsid w:val="00B77A5F"/>
    <w:rsid w:val="00BB7781"/>
    <w:rsid w:val="00BD2E43"/>
    <w:rsid w:val="00BE57F1"/>
    <w:rsid w:val="00C04516"/>
    <w:rsid w:val="00C0575C"/>
    <w:rsid w:val="00C1025F"/>
    <w:rsid w:val="00C733F4"/>
    <w:rsid w:val="00CB12F2"/>
    <w:rsid w:val="00CE724C"/>
    <w:rsid w:val="00D128A4"/>
    <w:rsid w:val="00D2625B"/>
    <w:rsid w:val="00D46562"/>
    <w:rsid w:val="00D473D4"/>
    <w:rsid w:val="00D64381"/>
    <w:rsid w:val="00D708D0"/>
    <w:rsid w:val="00D7313E"/>
    <w:rsid w:val="00D7591E"/>
    <w:rsid w:val="00D7680E"/>
    <w:rsid w:val="00D77EE4"/>
    <w:rsid w:val="00D8157D"/>
    <w:rsid w:val="00D95B6B"/>
    <w:rsid w:val="00D96209"/>
    <w:rsid w:val="00DA410C"/>
    <w:rsid w:val="00DB695B"/>
    <w:rsid w:val="00DB6AFC"/>
    <w:rsid w:val="00DD10BD"/>
    <w:rsid w:val="00DE03AE"/>
    <w:rsid w:val="00DF4DAF"/>
    <w:rsid w:val="00E10D4F"/>
    <w:rsid w:val="00E36488"/>
    <w:rsid w:val="00E37110"/>
    <w:rsid w:val="00E424F3"/>
    <w:rsid w:val="00E5488F"/>
    <w:rsid w:val="00E57C34"/>
    <w:rsid w:val="00E744ED"/>
    <w:rsid w:val="00E8397F"/>
    <w:rsid w:val="00E92CE6"/>
    <w:rsid w:val="00EA5CCE"/>
    <w:rsid w:val="00ED1A38"/>
    <w:rsid w:val="00EE0404"/>
    <w:rsid w:val="00EF2A54"/>
    <w:rsid w:val="00F1145C"/>
    <w:rsid w:val="00F314D2"/>
    <w:rsid w:val="00F335A6"/>
    <w:rsid w:val="00F51B17"/>
    <w:rsid w:val="00F53B2E"/>
    <w:rsid w:val="00F60913"/>
    <w:rsid w:val="00F7638C"/>
    <w:rsid w:val="00F95F1B"/>
    <w:rsid w:val="00FC2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52"/>
    <w:pPr>
      <w:framePr w:w="7920" w:h="1980" w:hRule="exact" w:hSpace="180" w:wrap="auto" w:hAnchor="page" w:xAlign="center" w:yAlign="bottom"/>
      <w:spacing w:after="0" w:line="240" w:lineRule="auto"/>
      <w:ind w:left="2880"/>
    </w:pPr>
    <w:rPr>
      <w:rFonts w:eastAsiaTheme="majorEastAsia" w:cstheme="majorBidi"/>
    </w:rPr>
  </w:style>
  <w:style w:type="paragraph" w:styleId="NoSpacing">
    <w:name w:val="No Spacing"/>
    <w:link w:val="NoSpacingChar"/>
    <w:uiPriority w:val="1"/>
    <w:qFormat/>
    <w:rsid w:val="00210F7F"/>
    <w:pPr>
      <w:spacing w:after="0" w:line="240" w:lineRule="auto"/>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10F7F"/>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210F7F"/>
    <w:pPr>
      <w:ind w:left="720"/>
      <w:contextualSpacing/>
    </w:pPr>
  </w:style>
  <w:style w:type="paragraph" w:customStyle="1" w:styleId="Level1">
    <w:name w:val="Level 1"/>
    <w:rsid w:val="00F335A6"/>
    <w:pPr>
      <w:autoSpaceDE w:val="0"/>
      <w:autoSpaceDN w:val="0"/>
      <w:adjustRightInd w:val="0"/>
      <w:spacing w:after="0" w:line="240" w:lineRule="auto"/>
      <w:ind w:left="720"/>
    </w:pPr>
    <w:rPr>
      <w:rFonts w:ascii="Courier New" w:eastAsia="Times New Roman" w:hAnsi="Courier New"/>
    </w:rPr>
  </w:style>
  <w:style w:type="paragraph" w:styleId="Header">
    <w:name w:val="header"/>
    <w:basedOn w:val="Normal"/>
    <w:link w:val="HeaderChar"/>
    <w:uiPriority w:val="99"/>
    <w:unhideWhenUsed/>
    <w:rsid w:val="00F33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5A6"/>
  </w:style>
  <w:style w:type="paragraph" w:styleId="Footer">
    <w:name w:val="footer"/>
    <w:basedOn w:val="Normal"/>
    <w:link w:val="FooterChar"/>
    <w:uiPriority w:val="99"/>
    <w:unhideWhenUsed/>
    <w:rsid w:val="00F33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5A6"/>
  </w:style>
  <w:style w:type="character" w:styleId="Hyperlink">
    <w:name w:val="Hyperlink"/>
    <w:basedOn w:val="DefaultParagraphFont"/>
    <w:uiPriority w:val="99"/>
    <w:unhideWhenUsed/>
    <w:rsid w:val="0032034F"/>
    <w:rPr>
      <w:color w:val="0000FF" w:themeColor="hyperlink"/>
      <w:u w:val="single"/>
    </w:rPr>
  </w:style>
  <w:style w:type="paragraph" w:styleId="BalloonText">
    <w:name w:val="Balloon Text"/>
    <w:basedOn w:val="Normal"/>
    <w:link w:val="BalloonTextChar"/>
    <w:uiPriority w:val="99"/>
    <w:semiHidden/>
    <w:unhideWhenUsed/>
    <w:rsid w:val="0061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3"/>
    <w:rPr>
      <w:rFonts w:ascii="Tahoma" w:hAnsi="Tahoma" w:cs="Tahoma"/>
      <w:sz w:val="16"/>
      <w:szCs w:val="16"/>
    </w:rPr>
  </w:style>
  <w:style w:type="character" w:styleId="Strong">
    <w:name w:val="Strong"/>
    <w:basedOn w:val="DefaultParagraphFont"/>
    <w:uiPriority w:val="22"/>
    <w:qFormat/>
    <w:rsid w:val="00FC2113"/>
    <w:rPr>
      <w:b/>
      <w:bCs/>
    </w:rPr>
  </w:style>
  <w:style w:type="paragraph" w:styleId="NormalWeb">
    <w:name w:val="Normal (Web)"/>
    <w:basedOn w:val="Normal"/>
    <w:uiPriority w:val="99"/>
    <w:unhideWhenUsed/>
    <w:rsid w:val="00FC2113"/>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FC2113"/>
  </w:style>
  <w:style w:type="character" w:styleId="FollowedHyperlink">
    <w:name w:val="FollowedHyperlink"/>
    <w:basedOn w:val="DefaultParagraphFont"/>
    <w:uiPriority w:val="99"/>
    <w:semiHidden/>
    <w:unhideWhenUsed/>
    <w:rsid w:val="008B36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52"/>
    <w:pPr>
      <w:framePr w:w="7920" w:h="1980" w:hRule="exact" w:hSpace="180" w:wrap="auto" w:hAnchor="page" w:xAlign="center" w:yAlign="bottom"/>
      <w:spacing w:after="0" w:line="240" w:lineRule="auto"/>
      <w:ind w:left="2880"/>
    </w:pPr>
    <w:rPr>
      <w:rFonts w:eastAsiaTheme="majorEastAsia" w:cstheme="majorBidi"/>
    </w:rPr>
  </w:style>
  <w:style w:type="paragraph" w:styleId="NoSpacing">
    <w:name w:val="No Spacing"/>
    <w:link w:val="NoSpacingChar"/>
    <w:uiPriority w:val="1"/>
    <w:qFormat/>
    <w:rsid w:val="00210F7F"/>
    <w:pPr>
      <w:spacing w:after="0" w:line="240" w:lineRule="auto"/>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10F7F"/>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210F7F"/>
    <w:pPr>
      <w:ind w:left="720"/>
      <w:contextualSpacing/>
    </w:pPr>
  </w:style>
  <w:style w:type="paragraph" w:customStyle="1" w:styleId="Level1">
    <w:name w:val="Level 1"/>
    <w:rsid w:val="00F335A6"/>
    <w:pPr>
      <w:autoSpaceDE w:val="0"/>
      <w:autoSpaceDN w:val="0"/>
      <w:adjustRightInd w:val="0"/>
      <w:spacing w:after="0" w:line="240" w:lineRule="auto"/>
      <w:ind w:left="720"/>
    </w:pPr>
    <w:rPr>
      <w:rFonts w:ascii="Courier New" w:eastAsia="Times New Roman" w:hAnsi="Courier New"/>
    </w:rPr>
  </w:style>
  <w:style w:type="paragraph" w:styleId="Header">
    <w:name w:val="header"/>
    <w:basedOn w:val="Normal"/>
    <w:link w:val="HeaderChar"/>
    <w:uiPriority w:val="99"/>
    <w:unhideWhenUsed/>
    <w:rsid w:val="00F33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5A6"/>
  </w:style>
  <w:style w:type="paragraph" w:styleId="Footer">
    <w:name w:val="footer"/>
    <w:basedOn w:val="Normal"/>
    <w:link w:val="FooterChar"/>
    <w:uiPriority w:val="99"/>
    <w:unhideWhenUsed/>
    <w:rsid w:val="00F33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5A6"/>
  </w:style>
  <w:style w:type="character" w:styleId="Hyperlink">
    <w:name w:val="Hyperlink"/>
    <w:basedOn w:val="DefaultParagraphFont"/>
    <w:uiPriority w:val="99"/>
    <w:unhideWhenUsed/>
    <w:rsid w:val="0032034F"/>
    <w:rPr>
      <w:color w:val="0000FF" w:themeColor="hyperlink"/>
      <w:u w:val="single"/>
    </w:rPr>
  </w:style>
  <w:style w:type="paragraph" w:styleId="BalloonText">
    <w:name w:val="Balloon Text"/>
    <w:basedOn w:val="Normal"/>
    <w:link w:val="BalloonTextChar"/>
    <w:uiPriority w:val="99"/>
    <w:semiHidden/>
    <w:unhideWhenUsed/>
    <w:rsid w:val="0061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3"/>
    <w:rPr>
      <w:rFonts w:ascii="Tahoma" w:hAnsi="Tahoma" w:cs="Tahoma"/>
      <w:sz w:val="16"/>
      <w:szCs w:val="16"/>
    </w:rPr>
  </w:style>
  <w:style w:type="character" w:styleId="Strong">
    <w:name w:val="Strong"/>
    <w:basedOn w:val="DefaultParagraphFont"/>
    <w:uiPriority w:val="22"/>
    <w:qFormat/>
    <w:rsid w:val="00FC2113"/>
    <w:rPr>
      <w:b/>
      <w:bCs/>
    </w:rPr>
  </w:style>
  <w:style w:type="paragraph" w:styleId="NormalWeb">
    <w:name w:val="Normal (Web)"/>
    <w:basedOn w:val="Normal"/>
    <w:uiPriority w:val="99"/>
    <w:unhideWhenUsed/>
    <w:rsid w:val="00FC2113"/>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FC21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bar.org/groups/real_property_trust_estate/events_cle/state_law_summarie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imbergservices.com/" TargetMode="External"/><Relationship Id="rId4" Type="http://schemas.openxmlformats.org/officeDocument/2006/relationships/settings" Target="settings.xml"/><Relationship Id="rId9" Type="http://schemas.openxmlformats.org/officeDocument/2006/relationships/hyperlink" Target="http://www.comtrst.com/trust-our-experience/cynthia-brow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FCB4A-91A5-4A23-9D40-B33E3A4F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7463</Words>
  <Characters>42541</Characters>
  <Application>Microsoft Office Word</Application>
  <DocSecurity>0</DocSecurity>
  <PresentationFormat/>
  <Lines>354</Lines>
  <Paragraphs>99</Paragraphs>
  <ScaleCrop>false</ScaleCrop>
  <HeadingPairs>
    <vt:vector size="2" baseType="variant">
      <vt:variant>
        <vt:lpstr>Title</vt:lpstr>
      </vt:variant>
      <vt:variant>
        <vt:i4>1</vt:i4>
      </vt:variant>
    </vt:vector>
  </HeadingPairs>
  <TitlesOfParts>
    <vt:vector size="1" baseType="lpstr">
      <vt:lpstr>Creating a Delaware Asset Protection Trust - GFM00612079.DOCX-</vt:lpstr>
    </vt:vector>
  </TitlesOfParts>
  <Company>GFMLAW</Company>
  <LinksUpToDate>false</LinksUpToDate>
  <CharactersWithSpaces>49905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Delaware Asset Protection Trust - GFM00612079.DOCX-</dc:title>
  <dc:subject>GFM-00612079.DOCX-</dc:subject>
  <dc:creator>Jen Hutchinson</dc:creator>
  <cp:lastModifiedBy>sbscjxm</cp:lastModifiedBy>
  <cp:revision>2</cp:revision>
  <cp:lastPrinted>2014-09-10T15:36:00Z</cp:lastPrinted>
  <dcterms:created xsi:type="dcterms:W3CDTF">2014-10-07T00:01:00Z</dcterms:created>
  <dcterms:modified xsi:type="dcterms:W3CDTF">2014-10-07T00:01:00Z</dcterms:modified>
</cp:coreProperties>
</file>